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30"/>
      </w:pPr>
      <w:r>
        <w:rPr>
          <w:rFonts w:ascii="Arial" w:cs="Arial" w:eastAsia="Arial" w:hAnsi="Arial"/>
          <w:b/>
          <w:bCs/>
          <w:color w:val="0A1628"/>
          <w:sz w:val="20"/>
          <w:szCs w:val="20"/>
        </w:rPr>
        <w:t xml:space="preserve">GLEMO</w:t>
      </w:r>
    </w:p>
    <w:p>
      <w:pPr>
        <w:spacing w:after="50"/>
      </w:pPr>
      <w:r>
        <w:rPr>
          <w:rFonts w:ascii="Arial" w:cs="Arial" w:eastAsia="Arial" w:hAnsi="Arial"/>
          <w:b/>
          <w:bCs/>
          <w:color w:val="0A1628"/>
          <w:sz w:val="32"/>
          <w:szCs w:val="32"/>
        </w:rPr>
        <w:t xml:space="preserve">Web3 View</w:t>
      </w:r>
    </w:p>
    <w:p>
      <w:pPr>
        <w:pBdr>
          <w:bottom w:val="single" w:color="B8902A" w:sz="6" w:space="1"/>
        </w:pBdr>
        <w:spacing w:after="180"/>
      </w:pPr>
      <w:r>
        <w:rPr>
          <w:rFonts w:ascii="Arial" w:cs="Arial" w:eastAsia="Arial" w:hAnsi="Arial"/>
          <w:i/>
          <w:iCs/>
          <w:color w:val="595959"/>
          <w:sz w:val="18"/>
          <w:szCs w:val="18"/>
        </w:rPr>
        <w:t xml:space="preserve">Utility token architecture, RWA spin-out, and Web3 strategy overview</w:t>
      </w:r>
    </w:p>
    <w:p>
      <w:pPr>
        <w:spacing w:after="200"/>
      </w:pPr>
      <w:r>
        <w:rPr>
          <w:rFonts w:ascii="Arial" w:cs="Arial" w:eastAsia="Arial" w:hAnsi="Arial"/>
          <w:i/>
          <w:iCs/>
          <w:color w:val="595959"/>
          <w:sz w:val="17"/>
          <w:szCs w:val="17"/>
        </w:rPr>
        <w:t xml:space="preserve">Prepared June 2026. Document outlines Glemo's Web3 architecture for investor review.</w:t>
      </w:r>
    </w:p>
    <w:p>
      <w:pPr>
        <w:pStyle w:val="Heading1"/>
      </w:pPr>
      <w:r>
        <w:rPr>
          <w:rFonts w:ascii="Arial" w:cs="Arial" w:eastAsia="Arial" w:hAnsi="Arial"/>
          <w:color w:val="0A1628"/>
          <w:sz w:val="20"/>
          <w:szCs w:val="20"/>
        </w:rPr>
        <w:t xml:space="preserve">Executive overview</w:t>
      </w:r>
    </w:p>
    <w:p>
      <w:pPr>
        <w:spacing w:after="130"/>
      </w:pPr>
      <w:r>
        <w:rPr>
          <w:rFonts w:ascii="Arial" w:cs="Arial" w:eastAsia="Arial" w:hAnsi="Arial"/>
          <w:sz w:val="20"/>
          <w:szCs w:val="20"/>
        </w:rPr>
        <w:t xml:space="preserve">Glemo's Web3 strategy is built on a deliberate two-layer architecture that separates two economically distinct products:</w:t>
      </w:r>
    </w:p>
    <w:p>
      <w:pPr>
        <w:pStyle w:val="ListParagraph"/>
        <w:numPr>
          <w:ilvl w:val="0"/>
          <w:numId w:val="2"/>
        </w:numPr>
        <w:spacing w:after="90"/>
      </w:pPr>
      <w:r>
        <w:rPr>
          <w:rFonts w:ascii="Arial" w:cs="Arial" w:eastAsia="Arial" w:hAnsi="Arial"/>
          <w:sz w:val="20"/>
          <w:szCs w:val="20"/>
        </w:rPr>
        <w:t xml:space="preserve">A </w:t>
      </w:r>
      <w:r>
        <w:rPr>
          <w:rFonts w:ascii="Arial" w:cs="Arial" w:eastAsia="Arial" w:hAnsi="Arial"/>
          <w:b/>
          <w:bCs/>
          <w:sz w:val="20"/>
          <w:szCs w:val="20"/>
        </w:rPr>
        <w:t xml:space="preserve">utility token</w:t>
      </w:r>
      <w:r>
        <w:rPr>
          <w:rFonts w:ascii="Arial" w:cs="Arial" w:eastAsia="Arial" w:hAnsi="Arial"/>
          <w:sz w:val="20"/>
          <w:szCs w:val="20"/>
        </w:rPr>
        <w:t xml:space="preserve"> integrated into the Glemo marketplace of AI agents for the real estate industry. Token captures value from marketplace activity — access to SaaS, governance over the developer ecosystem, contributor incentives.</w:t>
      </w:r>
    </w:p>
    <w:p>
      <w:pPr>
        <w:pStyle w:val="ListParagraph"/>
        <w:numPr>
          <w:ilvl w:val="0"/>
          <w:numId w:val="2"/>
        </w:numPr>
        <w:spacing w:after="90"/>
      </w:pPr>
      <w:r>
        <w:rPr>
          <w:rFonts w:ascii="Arial" w:cs="Arial" w:eastAsia="Arial" w:hAnsi="Arial"/>
          <w:sz w:val="20"/>
          <w:szCs w:val="20"/>
        </w:rPr>
        <w:t xml:space="preserve">An </w:t>
      </w:r>
      <w:r>
        <w:rPr>
          <w:rFonts w:ascii="Arial" w:cs="Arial" w:eastAsia="Arial" w:hAnsi="Arial"/>
          <w:b/>
          <w:bCs/>
          <w:sz w:val="20"/>
          <w:szCs w:val="20"/>
        </w:rPr>
        <w:t xml:space="preserve">RWA layer</w:t>
      </w:r>
      <w:r>
        <w:rPr>
          <w:rFonts w:ascii="Arial" w:cs="Arial" w:eastAsia="Arial" w:hAnsi="Arial"/>
          <w:sz w:val="20"/>
          <w:szCs w:val="20"/>
        </w:rPr>
        <w:t xml:space="preserve"> structured as a separate, encapsulated entity operating multimarket-first. Glemo acts as curator/representative, not as issuer or tokenizer of underlying assets. Access restricted to permitted jurisdictions with mandatory KYC and jurisdictional geofencing.</w:t>
      </w:r>
    </w:p>
    <w:p>
      <w:pPr>
        <w:spacing w:after="200"/>
      </w:pPr>
      <w:r>
        <w:rPr>
          <w:rFonts w:ascii="Arial" w:cs="Arial" w:eastAsia="Arial" w:hAnsi="Arial"/>
          <w:b/>
          <w:bCs/>
          <w:sz w:val="20"/>
          <w:szCs w:val="20"/>
        </w:rPr>
        <w:t xml:space="preserve">The two layers are economically decoupled by design. </w:t>
      </w:r>
      <w:r>
        <w:rPr>
          <w:rFonts w:ascii="Arial" w:cs="Arial" w:eastAsia="Arial" w:hAnsi="Arial"/>
          <w:sz w:val="20"/>
          <w:szCs w:val="20"/>
        </w:rPr>
        <w:t xml:space="preserve">The utility token does not capture value from the RWA layer, and the RWA structure does not depend on the token. This separation is foundational to preserving regulatory integrity across jurisdictions.</w:t>
      </w:r>
    </w:p>
    <w:p>
      <w:pPr>
        <w:pStyle w:val="Heading1"/>
      </w:pPr>
      <w:r>
        <w:rPr>
          <w:rFonts w:ascii="Arial" w:cs="Arial" w:eastAsia="Arial" w:hAnsi="Arial"/>
          <w:color w:val="0A1628"/>
          <w:sz w:val="20"/>
          <w:szCs w:val="20"/>
        </w:rPr>
        <w:t xml:space="preserve">Layer 1 — Utility token (marketplace integration)</w:t>
      </w:r>
    </w:p>
    <w:p>
      <w:pPr>
        <w:pStyle w:val="Heading2"/>
      </w:pPr>
      <w:r>
        <w:rPr>
          <w:rFonts w:ascii="Arial" w:cs="Arial" w:eastAsia="Arial" w:hAnsi="Arial"/>
          <w:color w:val="B8902A"/>
          <w:sz w:val="20"/>
          <w:szCs w:val="20"/>
        </w:rPr>
        <w:t xml:space="preserve">Function and scope</w:t>
      </w:r>
    </w:p>
    <w:p>
      <w:pPr>
        <w:pStyle w:val="ListParagraph"/>
        <w:numPr>
          <w:ilvl w:val="0"/>
          <w:numId w:val="2"/>
        </w:numPr>
        <w:spacing w:after="90"/>
      </w:pPr>
      <w:r>
        <w:rPr>
          <w:rFonts w:ascii="Arial" w:cs="Arial" w:eastAsia="Arial" w:hAnsi="Arial"/>
          <w:sz w:val="20"/>
          <w:szCs w:val="20"/>
        </w:rPr>
        <w:t xml:space="preserve">Native token of the Glemo marketplace, where AI agents for the real estate industry are distributed to developers and partner companies.</w:t>
      </w:r>
    </w:p>
    <w:p>
      <w:pPr>
        <w:pStyle w:val="ListParagraph"/>
        <w:numPr>
          <w:ilvl w:val="0"/>
          <w:numId w:val="2"/>
        </w:numPr>
        <w:spacing w:after="90"/>
      </w:pPr>
      <w:r>
        <w:rPr>
          <w:rFonts w:ascii="Arial" w:cs="Arial" w:eastAsia="Arial" w:hAnsi="Arial"/>
          <w:sz w:val="20"/>
          <w:szCs w:val="20"/>
        </w:rPr>
        <w:t xml:space="preserve">Primary utilities: SaaS access payment, governance over developer ecosystem decisions, contributor and developer incentives, transaction fees within the marketplace.</w:t>
      </w:r>
    </w:p>
    <w:p>
      <w:pPr>
        <w:pStyle w:val="ListParagraph"/>
        <w:numPr>
          <w:ilvl w:val="0"/>
          <w:numId w:val="2"/>
        </w:numPr>
        <w:spacing w:after="90"/>
      </w:pPr>
      <w:r>
        <w:rPr>
          <w:rFonts w:ascii="Arial" w:cs="Arial" w:eastAsia="Arial" w:hAnsi="Arial"/>
          <w:sz w:val="20"/>
          <w:szCs w:val="20"/>
        </w:rPr>
        <w:t xml:space="preserve">Does not represent ownership of underlying real estate, financial instruments, or RWA. Does not promise yield from external assets. Captures value strictly from marketplace economic activity.</w:t>
      </w:r>
    </w:p>
    <w:p>
      <w:pPr>
        <w:pStyle w:val="Heading2"/>
      </w:pPr>
      <w:r>
        <w:rPr>
          <w:rFonts w:ascii="Arial" w:cs="Arial" w:eastAsia="Arial" w:hAnsi="Arial"/>
          <w:color w:val="B8902A"/>
          <w:sz w:val="20"/>
          <w:szCs w:val="20"/>
        </w:rPr>
        <w:t xml:space="preserve">Tokenomics framework (preliminary)</w:t>
      </w:r>
    </w:p>
    <w:p>
      <w:pPr>
        <w:spacing w:after="100"/>
      </w:pPr>
      <w:r>
        <w:rPr>
          <w:rFonts w:ascii="Arial" w:cs="Arial" w:eastAsia="Arial" w:hAnsi="Arial"/>
          <w:sz w:val="20"/>
          <w:szCs w:val="20"/>
        </w:rPr>
        <w:t xml:space="preserve">Final tokenomics will be released in the publishable whitepaper (5–7 weeks). Preliminary framework:</w:t>
      </w:r>
    </w:p>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3360"/>
        <w:gridCol w:w="6720"/>
      </w:tblGrid>
      <w:tr>
        <w:tc>
          <w:tcPr>
            <w:tcW w:type="dxa" w:w="3360"/>
            <w:tcBorders>
              <w:top w:val="single" w:color="CCCCCC" w:sz="1"/>
              <w:left w:val="single" w:color="CCCCCC" w:sz="1"/>
              <w:bottom w:val="single" w:color="CCCCCC" w:sz="1"/>
              <w:right w:val="single" w:color="CCCCCC" w:sz="1"/>
            </w:tcBorders>
            <w:shd w:fill="F7F7F7" w:val="clear"/>
            <w:tcMar>
              <w:top w:type="dxa" w:w="80"/>
              <w:left w:type="dxa" w:w="120"/>
              <w:bottom w:type="dxa" w:w="80"/>
              <w:right w:type="dxa" w:w="120"/>
            </w:tcMar>
            <w:vAlign w:val="center"/>
          </w:tcPr>
          <w:p>
            <w:pPr>
              <w:jc w:val="left"/>
            </w:pPr>
            <w:r>
              <w:rPr>
                <w:rFonts w:ascii="Arial" w:cs="Arial" w:eastAsia="Arial" w:hAnsi="Arial"/>
                <w:b/>
                <w:bCs/>
                <w:sz w:val="18"/>
                <w:szCs w:val="18"/>
              </w:rPr>
              <w:t xml:space="preserve">Issuing entity</w:t>
            </w:r>
          </w:p>
        </w:tc>
        <w:tc>
          <w:tcPr>
            <w:tcW w:type="dxa" w:w="6720"/>
            <w:tcBorders>
              <w:top w:val="single" w:color="CCCCCC" w:sz="1"/>
              <w:left w:val="single" w:color="CCCCCC" w:sz="1"/>
              <w:bottom w:val="single" w:color="CCCCCC" w:sz="1"/>
              <w:right w:val="single" w:color="CCCCCC" w:sz="1"/>
            </w:tcBorders>
            <w:tcMar>
              <w:top w:type="dxa" w:w="80"/>
              <w:left w:type="dxa" w:w="120"/>
              <w:bottom w:type="dxa" w:w="80"/>
              <w:right w:type="dxa" w:w="120"/>
            </w:tcMar>
            <w:vAlign w:val="center"/>
          </w:tcPr>
          <w:p>
            <w:pPr>
              <w:jc w:val="left"/>
            </w:pPr>
            <w:r>
              <w:rPr>
                <w:rFonts w:ascii="Arial" w:cs="Arial" w:eastAsia="Arial" w:hAnsi="Arial"/>
                <w:sz w:val="18"/>
                <w:szCs w:val="18"/>
              </w:rPr>
              <w:t xml:space="preserve">BVI-incorporated entity, independent of operating Glemo (Brazil/US Delaware).</w:t>
            </w:r>
          </w:p>
        </w:tc>
      </w:tr>
      <w:tr>
        <w:tc>
          <w:tcPr>
            <w:tcW w:type="dxa" w:w="3360"/>
            <w:tcBorders>
              <w:top w:val="single" w:color="CCCCCC" w:sz="1"/>
              <w:left w:val="single" w:color="CCCCCC" w:sz="1"/>
              <w:bottom w:val="single" w:color="CCCCCC" w:sz="1"/>
              <w:right w:val="single" w:color="CCCCCC" w:sz="1"/>
            </w:tcBorders>
            <w:shd w:fill="F7F7F7" w:val="clear"/>
            <w:tcMar>
              <w:top w:type="dxa" w:w="80"/>
              <w:left w:type="dxa" w:w="120"/>
              <w:bottom w:type="dxa" w:w="80"/>
              <w:right w:type="dxa" w:w="120"/>
            </w:tcMar>
            <w:vAlign w:val="center"/>
          </w:tcPr>
          <w:p>
            <w:pPr>
              <w:jc w:val="left"/>
            </w:pPr>
            <w:r>
              <w:rPr>
                <w:rFonts w:ascii="Arial" w:cs="Arial" w:eastAsia="Arial" w:hAnsi="Arial"/>
                <w:b/>
                <w:bCs/>
                <w:sz w:val="18"/>
                <w:szCs w:val="18"/>
              </w:rPr>
              <w:t xml:space="preserve">Standard</w:t>
            </w:r>
          </w:p>
        </w:tc>
        <w:tc>
          <w:tcPr>
            <w:tcW w:type="dxa" w:w="6720"/>
            <w:tcBorders>
              <w:top w:val="single" w:color="CCCCCC" w:sz="1"/>
              <w:left w:val="single" w:color="CCCCCC" w:sz="1"/>
              <w:bottom w:val="single" w:color="CCCCCC" w:sz="1"/>
              <w:right w:val="single" w:color="CCCCCC" w:sz="1"/>
            </w:tcBorders>
            <w:tcMar>
              <w:top w:type="dxa" w:w="80"/>
              <w:left w:type="dxa" w:w="120"/>
              <w:bottom w:type="dxa" w:w="80"/>
              <w:right w:type="dxa" w:w="120"/>
            </w:tcMar>
            <w:vAlign w:val="center"/>
          </w:tcPr>
          <w:p>
            <w:pPr>
              <w:jc w:val="left"/>
            </w:pPr>
            <w:r>
              <w:rPr>
                <w:rFonts w:ascii="Arial" w:cs="Arial" w:eastAsia="Arial" w:hAnsi="Arial"/>
                <w:sz w:val="18"/>
                <w:szCs w:val="18"/>
              </w:rPr>
              <w:t xml:space="preserve">ERC-20 or equivalent, with vesting/lock-up smart contracts deployed on EVM-compatible network. Final chain selection contingent on partnership and liquidity considerations.</w:t>
            </w:r>
          </w:p>
        </w:tc>
      </w:tr>
      <w:tr>
        <w:tc>
          <w:tcPr>
            <w:tcW w:type="dxa" w:w="3360"/>
            <w:tcBorders>
              <w:top w:val="single" w:color="CCCCCC" w:sz="1"/>
              <w:left w:val="single" w:color="CCCCCC" w:sz="1"/>
              <w:bottom w:val="single" w:color="CCCCCC" w:sz="1"/>
              <w:right w:val="single" w:color="CCCCCC" w:sz="1"/>
            </w:tcBorders>
            <w:shd w:fill="F7F7F7" w:val="clear"/>
            <w:tcMar>
              <w:top w:type="dxa" w:w="80"/>
              <w:left w:type="dxa" w:w="120"/>
              <w:bottom w:type="dxa" w:w="80"/>
              <w:right w:type="dxa" w:w="120"/>
            </w:tcMar>
            <w:vAlign w:val="center"/>
          </w:tcPr>
          <w:p>
            <w:pPr>
              <w:jc w:val="left"/>
            </w:pPr>
            <w:r>
              <w:rPr>
                <w:rFonts w:ascii="Arial" w:cs="Arial" w:eastAsia="Arial" w:hAnsi="Arial"/>
                <w:b/>
                <w:bCs/>
                <w:sz w:val="18"/>
                <w:szCs w:val="18"/>
              </w:rPr>
              <w:t xml:space="preserve">Distribution buckets</w:t>
            </w:r>
          </w:p>
        </w:tc>
        <w:tc>
          <w:tcPr>
            <w:tcW w:type="dxa" w:w="6720"/>
            <w:tcBorders>
              <w:top w:val="single" w:color="CCCCCC" w:sz="1"/>
              <w:left w:val="single" w:color="CCCCCC" w:sz="1"/>
              <w:bottom w:val="single" w:color="CCCCCC" w:sz="1"/>
              <w:right w:val="single" w:color="CCCCCC" w:sz="1"/>
            </w:tcBorders>
            <w:tcMar>
              <w:top w:type="dxa" w:w="80"/>
              <w:left w:type="dxa" w:w="120"/>
              <w:bottom w:type="dxa" w:w="80"/>
              <w:right w:type="dxa" w:w="120"/>
            </w:tcMar>
            <w:vAlign w:val="center"/>
          </w:tcPr>
          <w:p>
            <w:pPr>
              <w:jc w:val="left"/>
            </w:pPr>
            <w:r>
              <w:rPr>
                <w:rFonts w:ascii="Arial" w:cs="Arial" w:eastAsia="Arial" w:hAnsi="Arial"/>
                <w:sz w:val="18"/>
                <w:szCs w:val="18"/>
              </w:rPr>
              <w:t xml:space="preserve">Founders, team, treasury, community/ecosystem, investors. Specific percentages and vesting schedules to be finalized in tokenomics document with industry-standard cliff/vesting design.</w:t>
            </w:r>
          </w:p>
        </w:tc>
      </w:tr>
      <w:tr>
        <w:tc>
          <w:tcPr>
            <w:tcW w:type="dxa" w:w="3360"/>
            <w:tcBorders>
              <w:top w:val="single" w:color="CCCCCC" w:sz="1"/>
              <w:left w:val="single" w:color="CCCCCC" w:sz="1"/>
              <w:bottom w:val="single" w:color="CCCCCC" w:sz="1"/>
              <w:right w:val="single" w:color="CCCCCC" w:sz="1"/>
            </w:tcBorders>
            <w:shd w:fill="F7F7F7" w:val="clear"/>
            <w:tcMar>
              <w:top w:type="dxa" w:w="80"/>
              <w:left w:type="dxa" w:w="120"/>
              <w:bottom w:type="dxa" w:w="80"/>
              <w:right w:type="dxa" w:w="120"/>
            </w:tcMar>
            <w:vAlign w:val="center"/>
          </w:tcPr>
          <w:p>
            <w:pPr>
              <w:jc w:val="left"/>
            </w:pPr>
            <w:r>
              <w:rPr>
                <w:rFonts w:ascii="Arial" w:cs="Arial" w:eastAsia="Arial" w:hAnsi="Arial"/>
                <w:b/>
                <w:bCs/>
                <w:sz w:val="18"/>
                <w:szCs w:val="18"/>
              </w:rPr>
              <w:t xml:space="preserve">Value capture</w:t>
            </w:r>
          </w:p>
        </w:tc>
        <w:tc>
          <w:tcPr>
            <w:tcW w:type="dxa" w:w="6720"/>
            <w:tcBorders>
              <w:top w:val="single" w:color="CCCCCC" w:sz="1"/>
              <w:left w:val="single" w:color="CCCCCC" w:sz="1"/>
              <w:bottom w:val="single" w:color="CCCCCC" w:sz="1"/>
              <w:right w:val="single" w:color="CCCCCC" w:sz="1"/>
            </w:tcBorders>
            <w:tcMar>
              <w:top w:type="dxa" w:w="80"/>
              <w:left w:type="dxa" w:w="120"/>
              <w:bottom w:type="dxa" w:w="80"/>
              <w:right w:type="dxa" w:w="120"/>
            </w:tcMar>
            <w:vAlign w:val="center"/>
          </w:tcPr>
          <w:p>
            <w:pPr>
              <w:jc w:val="left"/>
            </w:pPr>
            <w:r>
              <w:rPr>
                <w:rFonts w:ascii="Arial" w:cs="Arial" w:eastAsia="Arial" w:hAnsi="Arial"/>
                <w:sz w:val="18"/>
                <w:szCs w:val="18"/>
              </w:rPr>
              <w:t xml:space="preserve">Marketplace fees flow back to ecosystem through buyback, burn, or rewards mechanisms (to be defined). Captures growth of marketplace transaction volume.</w:t>
            </w:r>
          </w:p>
        </w:tc>
      </w:tr>
      <w:tr>
        <w:tc>
          <w:tcPr>
            <w:tcW w:type="dxa" w:w="3360"/>
            <w:tcBorders>
              <w:top w:val="single" w:color="CCCCCC" w:sz="1"/>
              <w:left w:val="single" w:color="CCCCCC" w:sz="1"/>
              <w:bottom w:val="single" w:color="CCCCCC" w:sz="1"/>
              <w:right w:val="single" w:color="CCCCCC" w:sz="1"/>
            </w:tcBorders>
            <w:shd w:fill="F7F7F7" w:val="clear"/>
            <w:tcMar>
              <w:top w:type="dxa" w:w="80"/>
              <w:left w:type="dxa" w:w="120"/>
              <w:bottom w:type="dxa" w:w="80"/>
              <w:right w:type="dxa" w:w="120"/>
            </w:tcMar>
            <w:vAlign w:val="center"/>
          </w:tcPr>
          <w:p>
            <w:pPr>
              <w:jc w:val="left"/>
            </w:pPr>
            <w:r>
              <w:rPr>
                <w:rFonts w:ascii="Arial" w:cs="Arial" w:eastAsia="Arial" w:hAnsi="Arial"/>
                <w:b/>
                <w:bCs/>
                <w:sz w:val="18"/>
                <w:szCs w:val="18"/>
              </w:rPr>
              <w:t xml:space="preserve">Target FDV at TGE</w:t>
            </w:r>
          </w:p>
        </w:tc>
        <w:tc>
          <w:tcPr>
            <w:tcW w:type="dxa" w:w="6720"/>
            <w:tcBorders>
              <w:top w:val="single" w:color="CCCCCC" w:sz="1"/>
              <w:left w:val="single" w:color="CCCCCC" w:sz="1"/>
              <w:bottom w:val="single" w:color="CCCCCC" w:sz="1"/>
              <w:right w:val="single" w:color="CCCCCC" w:sz="1"/>
            </w:tcBorders>
            <w:tcMar>
              <w:top w:type="dxa" w:w="80"/>
              <w:left w:type="dxa" w:w="120"/>
              <w:bottom w:type="dxa" w:w="80"/>
              <w:right w:type="dxa" w:w="120"/>
            </w:tcMar>
            <w:vAlign w:val="center"/>
          </w:tcPr>
          <w:p>
            <w:pPr>
              <w:jc w:val="left"/>
            </w:pPr>
            <w:r>
              <w:rPr>
                <w:rFonts w:ascii="Arial" w:cs="Arial" w:eastAsia="Arial" w:hAnsi="Arial"/>
                <w:sz w:val="18"/>
                <w:szCs w:val="18"/>
              </w:rPr>
              <w:t xml:space="preserve">USD 40M–60M, calibrated against final tokenomics and platform traction. Initial circulating supply 10–15% (USD 5M–9M market cap), with remainder under vesting/lock-up.</w:t>
            </w:r>
          </w:p>
        </w:tc>
      </w:tr>
      <w:tr>
        <w:tc>
          <w:tcPr>
            <w:tcW w:type="dxa" w:w="3360"/>
            <w:tcBorders>
              <w:top w:val="single" w:color="CCCCCC" w:sz="1"/>
              <w:left w:val="single" w:color="CCCCCC" w:sz="1"/>
              <w:bottom w:val="single" w:color="CCCCCC" w:sz="1"/>
              <w:right w:val="single" w:color="CCCCCC" w:sz="1"/>
            </w:tcBorders>
            <w:shd w:fill="F7F7F7" w:val="clear"/>
            <w:tcMar>
              <w:top w:type="dxa" w:w="80"/>
              <w:left w:type="dxa" w:w="120"/>
              <w:bottom w:type="dxa" w:w="80"/>
              <w:right w:type="dxa" w:w="120"/>
            </w:tcMar>
            <w:vAlign w:val="center"/>
          </w:tcPr>
          <w:p>
            <w:pPr>
              <w:jc w:val="left"/>
            </w:pPr>
            <w:r>
              <w:rPr>
                <w:rFonts w:ascii="Arial" w:cs="Arial" w:eastAsia="Arial" w:hAnsi="Arial"/>
                <w:b/>
                <w:bCs/>
                <w:sz w:val="18"/>
                <w:szCs w:val="18"/>
              </w:rPr>
              <w:t xml:space="preserve">TGE window</w:t>
            </w:r>
          </w:p>
        </w:tc>
        <w:tc>
          <w:tcPr>
            <w:tcW w:type="dxa" w:w="6720"/>
            <w:tcBorders>
              <w:top w:val="single" w:color="CCCCCC" w:sz="1"/>
              <w:left w:val="single" w:color="CCCCCC" w:sz="1"/>
              <w:bottom w:val="single" w:color="CCCCCC" w:sz="1"/>
              <w:right w:val="single" w:color="CCCCCC" w:sz="1"/>
            </w:tcBorders>
            <w:tcMar>
              <w:top w:type="dxa" w:w="80"/>
              <w:left w:type="dxa" w:w="120"/>
              <w:bottom w:type="dxa" w:w="80"/>
              <w:right w:type="dxa" w:w="120"/>
            </w:tcMar>
            <w:vAlign w:val="center"/>
          </w:tcPr>
          <w:p>
            <w:pPr>
              <w:jc w:val="left"/>
            </w:pPr>
            <w:r>
              <w:rPr>
                <w:rFonts w:ascii="Arial" w:cs="Arial" w:eastAsia="Arial" w:hAnsi="Arial"/>
                <w:sz w:val="18"/>
                <w:szCs w:val="18"/>
              </w:rPr>
              <w:t xml:space="preserve">9 months post-round close, contingent on favorable market conditions and platform maturity. Token launch will not be forced into adverse market windows.</w:t>
            </w:r>
          </w:p>
        </w:tc>
      </w:tr>
    </w:tbl>
    <w:p>
      <w:pPr>
        <w:pStyle w:val="Heading2"/>
      </w:pPr>
      <w:r>
        <w:rPr>
          <w:rFonts w:ascii="Arial" w:cs="Arial" w:eastAsia="Arial" w:hAnsi="Arial"/>
          <w:color w:val="B8902A"/>
          <w:sz w:val="20"/>
          <w:szCs w:val="20"/>
        </w:rPr>
        <w:t xml:space="preserve">CEX listing roadmap</w:t>
      </w:r>
    </w:p>
    <w:p>
      <w:pPr>
        <w:pStyle w:val="ListParagraph"/>
        <w:numPr>
          <w:ilvl w:val="0"/>
          <w:numId w:val="2"/>
        </w:numPr>
        <w:spacing w:after="90"/>
      </w:pPr>
      <w:r>
        <w:rPr>
          <w:rFonts w:ascii="Arial" w:cs="Arial" w:eastAsia="Arial" w:hAnsi="Arial"/>
          <w:sz w:val="20"/>
          <w:szCs w:val="20"/>
        </w:rPr>
        <w:t xml:space="preserve">Phase 1 — Tier 2 entry via HTX (relationship established). Target: 2–3 months post-TGE.</w:t>
      </w:r>
    </w:p>
    <w:p>
      <w:pPr>
        <w:pStyle w:val="ListParagraph"/>
        <w:numPr>
          <w:ilvl w:val="0"/>
          <w:numId w:val="2"/>
        </w:numPr>
        <w:spacing w:after="90"/>
      </w:pPr>
      <w:r>
        <w:rPr>
          <w:rFonts w:ascii="Arial" w:cs="Arial" w:eastAsia="Arial" w:hAnsi="Arial"/>
          <w:sz w:val="20"/>
          <w:szCs w:val="20"/>
        </w:rPr>
        <w:t xml:space="preserve">Phase 2 — Tier 1 listing on Binance and/or OKX. Conditioned on post-TGE traction metrics (24h volume, holder count, market depth) and successful smart contract audit. Target: 6–12 months post-Phase 1.</w:t>
      </w:r>
    </w:p>
    <w:p>
      <w:pPr>
        <w:pStyle w:val="ListParagraph"/>
        <w:numPr>
          <w:ilvl w:val="0"/>
          <w:numId w:val="2"/>
        </w:numPr>
        <w:spacing w:after="90"/>
      </w:pPr>
      <w:r>
        <w:rPr>
          <w:rFonts w:ascii="Arial" w:cs="Arial" w:eastAsia="Arial" w:hAnsi="Arial"/>
          <w:sz w:val="20"/>
          <w:szCs w:val="20"/>
        </w:rPr>
        <w:t xml:space="preserve">Market making engagement planned 4–6 months pre-TGE. Selection contingent on listing venue and tokenomics finalization.</w:t>
      </w:r>
    </w:p>
    <w:p>
      <w:pPr>
        <w:pStyle w:val="Heading1"/>
      </w:pPr>
      <w:r>
        <w:rPr>
          <w:rFonts w:ascii="Arial" w:cs="Arial" w:eastAsia="Arial" w:hAnsi="Arial"/>
          <w:color w:val="0A1628"/>
          <w:sz w:val="20"/>
          <w:szCs w:val="20"/>
        </w:rPr>
        <w:t xml:space="preserve">Layer 2 — RWA spin-out (separate entity)</w:t>
      </w:r>
    </w:p>
    <w:p>
      <w:pPr>
        <w:pStyle w:val="Heading2"/>
      </w:pPr>
      <w:r>
        <w:rPr>
          <w:rFonts w:ascii="Arial" w:cs="Arial" w:eastAsia="Arial" w:hAnsi="Arial"/>
          <w:color w:val="B8902A"/>
          <w:sz w:val="20"/>
          <w:szCs w:val="20"/>
        </w:rPr>
        <w:t xml:space="preserve">Strategic rationale</w:t>
      </w:r>
    </w:p>
    <w:p>
      <w:pPr>
        <w:spacing w:after="130"/>
      </w:pPr>
      <w:r>
        <w:rPr>
          <w:rFonts w:ascii="Arial" w:cs="Arial" w:eastAsia="Arial" w:hAnsi="Arial"/>
          <w:sz w:val="20"/>
          <w:szCs w:val="20"/>
        </w:rPr>
        <w:t xml:space="preserve">RWA is structurally different from Glemo's core operation (Property Sales + AI Marketplace): own regulatory risk profile, multi-year product cycle, institutional capital structure, specialized governance requirements. Keeping it inside the main Glemo entity would contaminate cap table, governance, and operational velocity of the other pillars.</w:t>
      </w:r>
    </w:p>
    <w:p>
      <w:pPr>
        <w:spacing w:after="150"/>
      </w:pPr>
      <w:r>
        <w:rPr>
          <w:rFonts w:ascii="Arial" w:cs="Arial" w:eastAsia="Arial" w:hAnsi="Arial"/>
          <w:b/>
          <w:bCs/>
          <w:sz w:val="20"/>
          <w:szCs w:val="20"/>
        </w:rPr>
        <w:t xml:space="preserve">Solution: encapsulate the RWA in an independent BVI entity, with own cap table, own capital raise, and </w:t>
      </w:r>
      <w:r>
        <w:rPr>
          <w:rFonts w:ascii="Arial" w:cs="Arial" w:eastAsia="Arial" w:hAnsi="Arial"/>
          <w:b/>
          <w:bCs/>
          <w:sz w:val="20"/>
          <w:szCs w:val="20"/>
        </w:rPr>
        <w:t xml:space="preserve">multimarket-first operation</w:t>
      </w:r>
      <w:r>
        <w:rPr>
          <w:rFonts w:ascii="Arial" w:cs="Arial" w:eastAsia="Arial" w:hAnsi="Arial"/>
          <w:sz w:val="20"/>
          <w:szCs w:val="20"/>
        </w:rPr>
        <w:t xml:space="preserve">— launching first in jurisdictions where RWA real estate is operationally viable (Switzerland's DLT Act, Singapore's Project Guardian, ADGM/DIFC, US Reg D/Reg S where applicable). Brazil enablement in a later phase, conditioned on regulatory maturation.</w:t>
      </w:r>
    </w:p>
    <w:p>
      <w:pPr>
        <w:pStyle w:val="Heading2"/>
      </w:pPr>
      <w:r>
        <w:rPr>
          <w:rFonts w:ascii="Arial" w:cs="Arial" w:eastAsia="Arial" w:hAnsi="Arial"/>
          <w:color w:val="B8902A"/>
          <w:sz w:val="20"/>
          <w:szCs w:val="20"/>
        </w:rPr>
        <w:t xml:space="preserve">Operating model</w:t>
      </w:r>
    </w:p>
    <w:p>
      <w:pPr>
        <w:pStyle w:val="ListParagraph"/>
        <w:numPr>
          <w:ilvl w:val="0"/>
          <w:numId w:val="2"/>
        </w:numPr>
        <w:spacing w:after="90"/>
      </w:pPr>
      <w:r>
        <w:rPr>
          <w:rFonts w:ascii="Arial" w:cs="Arial" w:eastAsia="Arial" w:hAnsi="Arial"/>
          <w:sz w:val="20"/>
          <w:szCs w:val="20"/>
        </w:rPr>
        <w:t xml:space="preserve">Glemo acts as </w:t>
      </w:r>
      <w:r>
        <w:rPr>
          <w:rFonts w:ascii="Arial" w:cs="Arial" w:eastAsia="Arial" w:hAnsi="Arial"/>
          <w:b/>
          <w:bCs/>
          <w:sz w:val="20"/>
          <w:szCs w:val="20"/>
        </w:rPr>
        <w:t xml:space="preserve">curator and representative</w:t>
      </w:r>
      <w:r>
        <w:rPr>
          <w:rFonts w:ascii="Arial" w:cs="Arial" w:eastAsia="Arial" w:hAnsi="Arial"/>
          <w:sz w:val="20"/>
          <w:szCs w:val="20"/>
        </w:rPr>
        <w:t xml:space="preserve">, not as issuer or tokenizer of underlying real estate. Real tokenization is performed by licensed third-party tokenizers in their respective jurisdictions.</w:t>
      </w:r>
    </w:p>
    <w:p>
      <w:pPr>
        <w:pStyle w:val="ListParagraph"/>
        <w:numPr>
          <w:ilvl w:val="0"/>
          <w:numId w:val="2"/>
        </w:numPr>
        <w:spacing w:after="90"/>
      </w:pPr>
      <w:r>
        <w:rPr>
          <w:rFonts w:ascii="Arial" w:cs="Arial" w:eastAsia="Arial" w:hAnsi="Arial"/>
          <w:sz w:val="20"/>
          <w:szCs w:val="20"/>
        </w:rPr>
        <w:t xml:space="preserve">Glemo's role is to onboard institutional buyers, provide marketplace infrastructure, and connect supply (tokenized real estate from licensed issuers) with demand (qualified investors).</w:t>
      </w:r>
    </w:p>
    <w:p>
      <w:pPr>
        <w:pStyle w:val="ListParagraph"/>
        <w:numPr>
          <w:ilvl w:val="0"/>
          <w:numId w:val="2"/>
        </w:numPr>
        <w:spacing w:after="90"/>
      </w:pPr>
      <w:r>
        <w:rPr>
          <w:rFonts w:ascii="Arial" w:cs="Arial" w:eastAsia="Arial" w:hAnsi="Arial"/>
          <w:sz w:val="20"/>
          <w:szCs w:val="20"/>
        </w:rPr>
        <w:t xml:space="preserve">Access restricted to </w:t>
      </w:r>
      <w:r>
        <w:rPr>
          <w:rFonts w:ascii="Arial" w:cs="Arial" w:eastAsia="Arial" w:hAnsi="Arial"/>
          <w:b/>
          <w:bCs/>
          <w:sz w:val="20"/>
          <w:szCs w:val="20"/>
        </w:rPr>
        <w:t xml:space="preserve">permitted jurisdictions only</w:t>
      </w:r>
      <w:r>
        <w:rPr>
          <w:rFonts w:ascii="Arial" w:cs="Arial" w:eastAsia="Arial" w:hAnsi="Arial"/>
          <w:sz w:val="20"/>
          <w:szCs w:val="20"/>
        </w:rPr>
        <w:t xml:space="preserve">, enforced via mandatory KYC and IP geofencing at the application layer.</w:t>
      </w:r>
    </w:p>
    <w:p>
      <w:pPr>
        <w:pStyle w:val="ListParagraph"/>
        <w:numPr>
          <w:ilvl w:val="0"/>
          <w:numId w:val="2"/>
        </w:numPr>
        <w:spacing w:after="90"/>
      </w:pPr>
      <w:r>
        <w:rPr>
          <w:rFonts w:ascii="Arial" w:cs="Arial" w:eastAsia="Arial" w:hAnsi="Arial"/>
          <w:sz w:val="20"/>
          <w:szCs w:val="20"/>
        </w:rPr>
        <w:t xml:space="preserve">Revenue model based on referral fees from issuers and/or subscription fees for institutional buyers — </w:t>
      </w:r>
      <w:r>
        <w:rPr>
          <w:rFonts w:ascii="Arial" w:cs="Arial" w:eastAsia="Arial" w:hAnsi="Arial"/>
          <w:b/>
          <w:bCs/>
          <w:sz w:val="20"/>
          <w:szCs w:val="20"/>
        </w:rPr>
        <w:t xml:space="preserve">never via token economics</w:t>
      </w:r>
      <w:r>
        <w:rPr>
          <w:rFonts w:ascii="Arial" w:cs="Arial" w:eastAsia="Arial" w:hAnsi="Arial"/>
          <w:sz w:val="20"/>
          <w:szCs w:val="20"/>
        </w:rPr>
        <w:t xml:space="preserve">. The RWA layer and the utility token are economically separate.</w:t>
      </w:r>
    </w:p>
    <w:p>
      <w:pPr>
        <w:pStyle w:val="Heading2"/>
      </w:pPr>
      <w:r>
        <w:rPr>
          <w:rFonts w:ascii="Arial" w:cs="Arial" w:eastAsia="Arial" w:hAnsi="Arial"/>
          <w:color w:val="B8902A"/>
          <w:sz w:val="20"/>
          <w:szCs w:val="20"/>
        </w:rPr>
        <w:t xml:space="preserve">Governance and capital</w:t>
      </w:r>
    </w:p>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3360"/>
        <w:gridCol w:w="6720"/>
      </w:tblGrid>
      <w:tr>
        <w:tc>
          <w:tcPr>
            <w:tcW w:type="dxa" w:w="3360"/>
            <w:tcBorders>
              <w:top w:val="single" w:color="CCCCCC" w:sz="1"/>
              <w:left w:val="single" w:color="CCCCCC" w:sz="1"/>
              <w:bottom w:val="single" w:color="CCCCCC" w:sz="1"/>
              <w:right w:val="single" w:color="CCCCCC" w:sz="1"/>
            </w:tcBorders>
            <w:shd w:fill="F7F7F7" w:val="clear"/>
            <w:tcMar>
              <w:top w:type="dxa" w:w="80"/>
              <w:left w:type="dxa" w:w="120"/>
              <w:bottom w:type="dxa" w:w="80"/>
              <w:right w:type="dxa" w:w="120"/>
            </w:tcMar>
            <w:vAlign w:val="center"/>
          </w:tcPr>
          <w:p>
            <w:pPr>
              <w:jc w:val="left"/>
            </w:pPr>
            <w:r>
              <w:rPr>
                <w:rFonts w:ascii="Arial" w:cs="Arial" w:eastAsia="Arial" w:hAnsi="Arial"/>
                <w:b/>
                <w:bCs/>
                <w:sz w:val="18"/>
                <w:szCs w:val="18"/>
              </w:rPr>
              <w:t xml:space="preserve">Entity</w:t>
            </w:r>
          </w:p>
        </w:tc>
        <w:tc>
          <w:tcPr>
            <w:tcW w:type="dxa" w:w="6720"/>
            <w:tcBorders>
              <w:top w:val="single" w:color="CCCCCC" w:sz="1"/>
              <w:left w:val="single" w:color="CCCCCC" w:sz="1"/>
              <w:bottom w:val="single" w:color="CCCCCC" w:sz="1"/>
              <w:right w:val="single" w:color="CCCCCC" w:sz="1"/>
            </w:tcBorders>
            <w:tcMar>
              <w:top w:type="dxa" w:w="80"/>
              <w:left w:type="dxa" w:w="120"/>
              <w:bottom w:type="dxa" w:w="80"/>
              <w:right w:type="dxa" w:w="120"/>
            </w:tcMar>
            <w:vAlign w:val="center"/>
          </w:tcPr>
          <w:p>
            <w:pPr>
              <w:jc w:val="left"/>
            </w:pPr>
            <w:r>
              <w:rPr>
                <w:rFonts w:ascii="Arial" w:cs="Arial" w:eastAsia="Arial" w:hAnsi="Arial"/>
                <w:sz w:val="18"/>
                <w:szCs w:val="18"/>
              </w:rPr>
              <w:t xml:space="preserve">BVI, independent of Glemo Holdings (which operates Property Sales + AI Marketplace).</w:t>
            </w:r>
          </w:p>
        </w:tc>
      </w:tr>
      <w:tr>
        <w:tc>
          <w:tcPr>
            <w:tcW w:type="dxa" w:w="3360"/>
            <w:tcBorders>
              <w:top w:val="single" w:color="CCCCCC" w:sz="1"/>
              <w:left w:val="single" w:color="CCCCCC" w:sz="1"/>
              <w:bottom w:val="single" w:color="CCCCCC" w:sz="1"/>
              <w:right w:val="single" w:color="CCCCCC" w:sz="1"/>
            </w:tcBorders>
            <w:shd w:fill="F7F7F7" w:val="clear"/>
            <w:tcMar>
              <w:top w:type="dxa" w:w="80"/>
              <w:left w:type="dxa" w:w="120"/>
              <w:bottom w:type="dxa" w:w="80"/>
              <w:right w:type="dxa" w:w="120"/>
            </w:tcMar>
            <w:vAlign w:val="center"/>
          </w:tcPr>
          <w:p>
            <w:pPr>
              <w:jc w:val="left"/>
            </w:pPr>
            <w:r>
              <w:rPr>
                <w:rFonts w:ascii="Arial" w:cs="Arial" w:eastAsia="Arial" w:hAnsi="Arial"/>
                <w:b/>
                <w:bCs/>
                <w:sz w:val="18"/>
                <w:szCs w:val="18"/>
              </w:rPr>
              <w:t xml:space="preserve">Founding partnership</w:t>
            </w:r>
          </w:p>
        </w:tc>
        <w:tc>
          <w:tcPr>
            <w:tcW w:type="dxa" w:w="6720"/>
            <w:tcBorders>
              <w:top w:val="single" w:color="CCCCCC" w:sz="1"/>
              <w:left w:val="single" w:color="CCCCCC" w:sz="1"/>
              <w:bottom w:val="single" w:color="CCCCCC" w:sz="1"/>
              <w:right w:val="single" w:color="CCCCCC" w:sz="1"/>
            </w:tcBorders>
            <w:tcMar>
              <w:top w:type="dxa" w:w="80"/>
              <w:left w:type="dxa" w:w="120"/>
              <w:bottom w:type="dxa" w:w="80"/>
              <w:right w:type="dxa" w:w="120"/>
            </w:tcMar>
            <w:vAlign w:val="center"/>
          </w:tcPr>
          <w:p>
            <w:pPr>
              <w:jc w:val="left"/>
            </w:pPr>
            <w:r>
              <w:rPr>
                <w:rFonts w:ascii="Arial" w:cs="Arial" w:eastAsia="Arial" w:hAnsi="Arial"/>
                <w:sz w:val="18"/>
                <w:szCs w:val="18"/>
              </w:rPr>
              <w:t xml:space="preserve">Co-founded by Gleisson Herit (founder of Glemo) with senior technical partner specialized in Web3 infrastructure and tokenization. Final cap table structure under formalization with legal counsel.</w:t>
            </w:r>
          </w:p>
        </w:tc>
      </w:tr>
      <w:tr>
        <w:tc>
          <w:tcPr>
            <w:tcW w:type="dxa" w:w="3360"/>
            <w:tcBorders>
              <w:top w:val="single" w:color="CCCCCC" w:sz="1"/>
              <w:left w:val="single" w:color="CCCCCC" w:sz="1"/>
              <w:bottom w:val="single" w:color="CCCCCC" w:sz="1"/>
              <w:right w:val="single" w:color="CCCCCC" w:sz="1"/>
            </w:tcBorders>
            <w:shd w:fill="F7F7F7" w:val="clear"/>
            <w:tcMar>
              <w:top w:type="dxa" w:w="80"/>
              <w:left w:type="dxa" w:w="120"/>
              <w:bottom w:type="dxa" w:w="80"/>
              <w:right w:type="dxa" w:w="120"/>
            </w:tcMar>
            <w:vAlign w:val="center"/>
          </w:tcPr>
          <w:p>
            <w:pPr>
              <w:jc w:val="left"/>
            </w:pPr>
            <w:r>
              <w:rPr>
                <w:rFonts w:ascii="Arial" w:cs="Arial" w:eastAsia="Arial" w:hAnsi="Arial"/>
                <w:b/>
                <w:bCs/>
                <w:sz w:val="18"/>
                <w:szCs w:val="18"/>
              </w:rPr>
              <w:t xml:space="preserve">Capital</w:t>
            </w:r>
          </w:p>
        </w:tc>
        <w:tc>
          <w:tcPr>
            <w:tcW w:type="dxa" w:w="6720"/>
            <w:tcBorders>
              <w:top w:val="single" w:color="CCCCCC" w:sz="1"/>
              <w:left w:val="single" w:color="CCCCCC" w:sz="1"/>
              <w:bottom w:val="single" w:color="CCCCCC" w:sz="1"/>
              <w:right w:val="single" w:color="CCCCCC" w:sz="1"/>
            </w:tcBorders>
            <w:tcMar>
              <w:top w:type="dxa" w:w="80"/>
              <w:left w:type="dxa" w:w="120"/>
              <w:bottom w:type="dxa" w:w="80"/>
              <w:right w:type="dxa" w:w="120"/>
            </w:tcMar>
            <w:vAlign w:val="center"/>
          </w:tcPr>
          <w:p>
            <w:pPr>
              <w:jc w:val="left"/>
            </w:pPr>
            <w:r>
              <w:rPr>
                <w:rFonts w:ascii="Arial" w:cs="Arial" w:eastAsia="Arial" w:hAnsi="Arial"/>
                <w:sz w:val="18"/>
                <w:szCs w:val="18"/>
              </w:rPr>
              <w:t xml:space="preserve">Own capital raise, independent from Glemo pre-seed round. Open to strategic investors with deep tokenization or institutional finance expertise.</w:t>
            </w:r>
          </w:p>
        </w:tc>
      </w:tr>
      <w:tr>
        <w:tc>
          <w:tcPr>
            <w:tcW w:type="dxa" w:w="3360"/>
            <w:tcBorders>
              <w:top w:val="single" w:color="CCCCCC" w:sz="1"/>
              <w:left w:val="single" w:color="CCCCCC" w:sz="1"/>
              <w:bottom w:val="single" w:color="CCCCCC" w:sz="1"/>
              <w:right w:val="single" w:color="CCCCCC" w:sz="1"/>
            </w:tcBorders>
            <w:shd w:fill="F7F7F7" w:val="clear"/>
            <w:tcMar>
              <w:top w:type="dxa" w:w="80"/>
              <w:left w:type="dxa" w:w="120"/>
              <w:bottom w:type="dxa" w:w="80"/>
              <w:right w:type="dxa" w:w="120"/>
            </w:tcMar>
            <w:vAlign w:val="center"/>
          </w:tcPr>
          <w:p>
            <w:pPr>
              <w:jc w:val="left"/>
            </w:pPr>
            <w:r>
              <w:rPr>
                <w:rFonts w:ascii="Arial" w:cs="Arial" w:eastAsia="Arial" w:hAnsi="Arial"/>
                <w:b/>
                <w:bCs/>
                <w:sz w:val="18"/>
                <w:szCs w:val="18"/>
              </w:rPr>
              <w:t xml:space="preserve">Relationship to Glemo principal</w:t>
            </w:r>
          </w:p>
        </w:tc>
        <w:tc>
          <w:tcPr>
            <w:tcW w:type="dxa" w:w="6720"/>
            <w:tcBorders>
              <w:top w:val="single" w:color="CCCCCC" w:sz="1"/>
              <w:left w:val="single" w:color="CCCCCC" w:sz="1"/>
              <w:bottom w:val="single" w:color="CCCCCC" w:sz="1"/>
              <w:right w:val="single" w:color="CCCCCC" w:sz="1"/>
            </w:tcBorders>
            <w:tcMar>
              <w:top w:type="dxa" w:w="80"/>
              <w:left w:type="dxa" w:w="120"/>
              <w:bottom w:type="dxa" w:w="80"/>
              <w:right w:type="dxa" w:w="120"/>
            </w:tcMar>
            <w:vAlign w:val="center"/>
          </w:tcPr>
          <w:p>
            <w:pPr>
              <w:jc w:val="left"/>
            </w:pPr>
            <w:r>
              <w:rPr>
                <w:rFonts w:ascii="Arial" w:cs="Arial" w:eastAsia="Arial" w:hAnsi="Arial"/>
                <w:sz w:val="18"/>
                <w:szCs w:val="18"/>
              </w:rPr>
              <w:t xml:space="preserve">Operationally and financially independent. Licensing or service agreements between the two entities may exist, but no automatic cross-equity or shared governance.</w:t>
            </w:r>
          </w:p>
        </w:tc>
      </w:tr>
    </w:tbl>
    <w:p>
      <w:pPr>
        <w:pStyle w:val="Heading1"/>
      </w:pPr>
      <w:r>
        <w:rPr>
          <w:rFonts w:ascii="Arial" w:cs="Arial" w:eastAsia="Arial" w:hAnsi="Arial"/>
          <w:color w:val="0A1628"/>
          <w:sz w:val="20"/>
          <w:szCs w:val="20"/>
        </w:rPr>
        <w:t xml:space="preserve">Regulatory posture</w:t>
      </w:r>
    </w:p>
    <w:p>
      <w:pPr>
        <w:spacing w:after="130"/>
      </w:pPr>
      <w:r>
        <w:rPr>
          <w:rFonts w:ascii="Arial" w:cs="Arial" w:eastAsia="Arial" w:hAnsi="Arial"/>
          <w:sz w:val="20"/>
          <w:szCs w:val="20"/>
        </w:rPr>
        <w:t xml:space="preserve">Glemo's Web3 architecture is designed for regulated operation across the jurisdictions where it operates. Key principles:</w:t>
      </w:r>
    </w:p>
    <w:p>
      <w:pPr>
        <w:pStyle w:val="ListParagraph"/>
        <w:numPr>
          <w:ilvl w:val="0"/>
          <w:numId w:val="2"/>
        </w:numPr>
        <w:spacing w:after="90"/>
      </w:pPr>
      <w:r>
        <w:rPr>
          <w:rFonts w:ascii="Arial" w:cs="Arial" w:eastAsia="Arial" w:hAnsi="Arial"/>
          <w:sz w:val="20"/>
          <w:szCs w:val="20"/>
        </w:rPr>
        <w:t xml:space="preserve">Utility token is structured to remain outside securities classification (no economic claim on underlying assets, value tied to marketplace activity, governance utility — consistent with Howey factors).</w:t>
      </w:r>
    </w:p>
    <w:p>
      <w:pPr>
        <w:pStyle w:val="ListParagraph"/>
        <w:numPr>
          <w:ilvl w:val="0"/>
          <w:numId w:val="2"/>
        </w:numPr>
        <w:spacing w:after="90"/>
      </w:pPr>
      <w:r>
        <w:rPr>
          <w:rFonts w:ascii="Arial" w:cs="Arial" w:eastAsia="Arial" w:hAnsi="Arial"/>
          <w:sz w:val="20"/>
          <w:szCs w:val="20"/>
        </w:rPr>
        <w:t xml:space="preserve">RWA layer operates as </w:t>
      </w:r>
      <w:r>
        <w:rPr>
          <w:rFonts w:ascii="Arial" w:cs="Arial" w:eastAsia="Arial" w:hAnsi="Arial"/>
          <w:b/>
          <w:bCs/>
          <w:sz w:val="20"/>
          <w:szCs w:val="20"/>
        </w:rPr>
        <w:t xml:space="preserve">representation and curation only</w:t>
      </w:r>
      <w:r>
        <w:rPr>
          <w:rFonts w:ascii="Arial" w:cs="Arial" w:eastAsia="Arial" w:hAnsi="Arial"/>
          <w:sz w:val="20"/>
          <w:szCs w:val="20"/>
        </w:rPr>
        <w:t xml:space="preserve">, never as issuance, removing Glemo from the issuer perimeter in each jurisdiction.</w:t>
      </w:r>
    </w:p>
    <w:p>
      <w:pPr>
        <w:pStyle w:val="ListParagraph"/>
        <w:numPr>
          <w:ilvl w:val="0"/>
          <w:numId w:val="2"/>
        </w:numPr>
        <w:spacing w:after="90"/>
      </w:pPr>
      <w:r>
        <w:rPr>
          <w:rFonts w:ascii="Arial" w:cs="Arial" w:eastAsia="Arial" w:hAnsi="Arial"/>
          <w:sz w:val="20"/>
          <w:szCs w:val="20"/>
        </w:rPr>
        <w:t xml:space="preserve">Access is jurisdiction-restricted: KYC + geofencing prevents access from jurisdictions where the offering would not be legal.</w:t>
      </w:r>
    </w:p>
    <w:p>
      <w:pPr>
        <w:pStyle w:val="ListParagraph"/>
        <w:numPr>
          <w:ilvl w:val="0"/>
          <w:numId w:val="2"/>
        </w:numPr>
        <w:spacing w:after="90"/>
      </w:pPr>
      <w:r>
        <w:rPr>
          <w:rFonts w:ascii="Arial" w:cs="Arial" w:eastAsia="Arial" w:hAnsi="Arial"/>
          <w:sz w:val="20"/>
          <w:szCs w:val="20"/>
        </w:rPr>
        <w:t xml:space="preserve">Whitepaper currently in late-stage drafting with legal review by in-house counsel (15+ years in capital markets and digital assets) supplemented by external US securities review. Publishable version targeted within 5–7 weeks.</w:t>
      </w:r>
    </w:p>
    <w:p>
      <w:pPr>
        <w:spacing w:after="200"/>
      </w:pPr>
      <w:r>
        <w:rPr>
          <w:rFonts w:ascii="Arial" w:cs="Arial" w:eastAsia="Arial" w:hAnsi="Arial"/>
          <w:i/>
          <w:iCs/>
          <w:sz w:val="18"/>
          <w:szCs w:val="18"/>
        </w:rPr>
        <w:t xml:space="preserve">Brazil enablement is sequenced for later phase, conditioned on the maturation of the regulatory environment (CVM 88 / FIDC framework consolidation, PL 4.438/2025 evolution, etc.). Glemo does not depend on Brazilian regulatory clarity for the launch of the Web3 layer.</w:t>
      </w:r>
    </w:p>
    <w:p>
      <w:pPr>
        <w:pStyle w:val="Heading1"/>
      </w:pPr>
      <w:r>
        <w:rPr>
          <w:rFonts w:ascii="Arial" w:cs="Arial" w:eastAsia="Arial" w:hAnsi="Arial"/>
          <w:color w:val="0A1628"/>
          <w:sz w:val="20"/>
          <w:szCs w:val="20"/>
        </w:rPr>
        <w:t xml:space="preserve">How investors can participate</w:t>
      </w:r>
    </w:p>
    <w:p>
      <w:pPr>
        <w:spacing w:after="130"/>
      </w:pPr>
      <w:r>
        <w:rPr>
          <w:rFonts w:ascii="Arial" w:cs="Arial" w:eastAsia="Arial" w:hAnsi="Arial"/>
          <w:sz w:val="20"/>
          <w:szCs w:val="20"/>
        </w:rPr>
        <w:t xml:space="preserve">Two distinct investment opportunities, currently in different phases:</w:t>
      </w:r>
    </w:p>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3360"/>
        <w:gridCol w:w="3360"/>
        <w:gridCol w:w="3360"/>
      </w:tblGrid>
      <w:tr>
        <w:tc>
          <w:tcPr>
            <w:tcW w:type="dxa" w:w="3360"/>
            <w:tcBorders>
              <w:top w:val="single" w:color="CCCCCC" w:sz="1"/>
              <w:left w:val="single" w:color="CCCCCC" w:sz="1"/>
              <w:bottom w:val="single" w:color="CCCCCC" w:sz="1"/>
              <w:right w:val="single" w:color="CCCCCC" w:sz="1"/>
            </w:tcBorders>
            <w:shd w:fill="0A1628" w:val="clear"/>
            <w:tcMar>
              <w:top w:type="dxa" w:w="80"/>
              <w:left w:type="dxa" w:w="120"/>
              <w:bottom w:type="dxa" w:w="80"/>
              <w:right w:type="dxa" w:w="120"/>
            </w:tcMar>
            <w:vAlign w:val="center"/>
          </w:tcPr>
          <w:p>
            <w:pPr>
              <w:jc w:val="left"/>
            </w:pPr>
            <w:r>
              <w:rPr>
                <w:rFonts w:ascii="Arial" w:cs="Arial" w:eastAsia="Arial" w:hAnsi="Arial"/>
                <w:sz w:val="18"/>
                <w:szCs w:val="18"/>
              </w:rPr>
              <w:t xml:space="preserve"/>
            </w:r>
          </w:p>
        </w:tc>
        <w:tc>
          <w:tcPr>
            <w:tcW w:type="dxa" w:w="3360"/>
            <w:tcBorders>
              <w:top w:val="single" w:color="CCCCCC" w:sz="1"/>
              <w:left w:val="single" w:color="CCCCCC" w:sz="1"/>
              <w:bottom w:val="single" w:color="CCCCCC" w:sz="1"/>
              <w:right w:val="single" w:color="CCCCCC" w:sz="1"/>
            </w:tcBorders>
            <w:shd w:fill="0A1628" w:val="clear"/>
            <w:tcMar>
              <w:top w:type="dxa" w:w="80"/>
              <w:left w:type="dxa" w:w="120"/>
              <w:bottom w:type="dxa" w:w="80"/>
              <w:right w:type="dxa" w:w="120"/>
            </w:tcMar>
            <w:vAlign w:val="center"/>
          </w:tcPr>
          <w:p>
            <w:pPr>
              <w:jc w:val="center"/>
            </w:pPr>
            <w:r>
              <w:rPr>
                <w:rFonts w:ascii="Arial" w:cs="Arial" w:eastAsia="Arial" w:hAnsi="Arial"/>
                <w:b/>
                <w:bCs/>
                <w:color w:val="FFFFFF"/>
                <w:sz w:val="18"/>
                <w:szCs w:val="18"/>
              </w:rPr>
              <w:t xml:space="preserve">Glemo (principal)</w:t>
            </w:r>
          </w:p>
        </w:tc>
        <w:tc>
          <w:tcPr>
            <w:tcW w:type="dxa" w:w="3360"/>
            <w:tcBorders>
              <w:top w:val="single" w:color="CCCCCC" w:sz="1"/>
              <w:left w:val="single" w:color="CCCCCC" w:sz="1"/>
              <w:bottom w:val="single" w:color="CCCCCC" w:sz="1"/>
              <w:right w:val="single" w:color="CCCCCC" w:sz="1"/>
            </w:tcBorders>
            <w:shd w:fill="0A1628" w:val="clear"/>
            <w:tcMar>
              <w:top w:type="dxa" w:w="80"/>
              <w:left w:type="dxa" w:w="120"/>
              <w:bottom w:type="dxa" w:w="80"/>
              <w:right w:type="dxa" w:w="120"/>
            </w:tcMar>
            <w:vAlign w:val="center"/>
          </w:tcPr>
          <w:p>
            <w:pPr>
              <w:jc w:val="center"/>
            </w:pPr>
            <w:r>
              <w:rPr>
                <w:rFonts w:ascii="Arial" w:cs="Arial" w:eastAsia="Arial" w:hAnsi="Arial"/>
                <w:b/>
                <w:bCs/>
                <w:color w:val="FFFFFF"/>
                <w:sz w:val="18"/>
                <w:szCs w:val="18"/>
              </w:rPr>
              <w:t xml:space="preserve">RWA spin-out</w:t>
            </w:r>
          </w:p>
        </w:tc>
      </w:tr>
      <w:tr>
        <w:tc>
          <w:tcPr>
            <w:tcW w:type="dxa" w:w="3360"/>
            <w:tcBorders>
              <w:top w:val="single" w:color="CCCCCC" w:sz="1"/>
              <w:left w:val="single" w:color="CCCCCC" w:sz="1"/>
              <w:bottom w:val="single" w:color="CCCCCC" w:sz="1"/>
              <w:right w:val="single" w:color="CCCCCC" w:sz="1"/>
            </w:tcBorders>
            <w:shd w:fill="F7F7F7" w:val="clear"/>
            <w:tcMar>
              <w:top w:type="dxa" w:w="80"/>
              <w:left w:type="dxa" w:w="120"/>
              <w:bottom w:type="dxa" w:w="80"/>
              <w:right w:type="dxa" w:w="120"/>
            </w:tcMar>
            <w:vAlign w:val="center"/>
          </w:tcPr>
          <w:p>
            <w:pPr>
              <w:jc w:val="left"/>
            </w:pPr>
            <w:r>
              <w:rPr>
                <w:rFonts w:ascii="Arial" w:cs="Arial" w:eastAsia="Arial" w:hAnsi="Arial"/>
                <w:b/>
                <w:bCs/>
                <w:sz w:val="18"/>
                <w:szCs w:val="18"/>
              </w:rPr>
              <w:t xml:space="preserve">Stage</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vAlign w:val="center"/>
          </w:tcPr>
          <w:p>
            <w:pPr>
              <w:jc w:val="center"/>
            </w:pPr>
            <w:r>
              <w:rPr>
                <w:rFonts w:ascii="Arial" w:cs="Arial" w:eastAsia="Arial" w:hAnsi="Arial"/>
                <w:sz w:val="18"/>
                <w:szCs w:val="18"/>
              </w:rPr>
              <w:t xml:space="preserve">Pre-seed (in progress)</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vAlign w:val="center"/>
          </w:tcPr>
          <w:p>
            <w:pPr>
              <w:jc w:val="center"/>
            </w:pPr>
            <w:r>
              <w:rPr>
                <w:rFonts w:ascii="Arial" w:cs="Arial" w:eastAsia="Arial" w:hAnsi="Arial"/>
                <w:sz w:val="18"/>
                <w:szCs w:val="18"/>
              </w:rPr>
              <w:t xml:space="preserve">Structuring</w:t>
            </w:r>
          </w:p>
        </w:tc>
      </w:tr>
      <w:tr>
        <w:tc>
          <w:tcPr>
            <w:tcW w:type="dxa" w:w="3360"/>
            <w:tcBorders>
              <w:top w:val="single" w:color="CCCCCC" w:sz="1"/>
              <w:left w:val="single" w:color="CCCCCC" w:sz="1"/>
              <w:bottom w:val="single" w:color="CCCCCC" w:sz="1"/>
              <w:right w:val="single" w:color="CCCCCC" w:sz="1"/>
            </w:tcBorders>
            <w:shd w:fill="F7F7F7" w:val="clear"/>
            <w:tcMar>
              <w:top w:type="dxa" w:w="80"/>
              <w:left w:type="dxa" w:w="120"/>
              <w:bottom w:type="dxa" w:w="80"/>
              <w:right w:type="dxa" w:w="120"/>
            </w:tcMar>
            <w:vAlign w:val="center"/>
          </w:tcPr>
          <w:p>
            <w:pPr>
              <w:jc w:val="left"/>
            </w:pPr>
            <w:r>
              <w:rPr>
                <w:rFonts w:ascii="Arial" w:cs="Arial" w:eastAsia="Arial" w:hAnsi="Arial"/>
                <w:b/>
                <w:bCs/>
                <w:sz w:val="18"/>
                <w:szCs w:val="18"/>
              </w:rPr>
              <w:t xml:space="preserve">Instrument</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vAlign w:val="center"/>
          </w:tcPr>
          <w:p>
            <w:pPr>
              <w:jc w:val="center"/>
            </w:pPr>
            <w:r>
              <w:rPr>
                <w:rFonts w:ascii="Arial" w:cs="Arial" w:eastAsia="Arial" w:hAnsi="Arial"/>
                <w:sz w:val="18"/>
                <w:szCs w:val="18"/>
              </w:rPr>
              <w:t xml:space="preserve">SAFE</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vAlign w:val="center"/>
          </w:tcPr>
          <w:p>
            <w:pPr>
              <w:jc w:val="center"/>
            </w:pPr>
            <w:r>
              <w:rPr>
                <w:rFonts w:ascii="Arial" w:cs="Arial" w:eastAsia="Arial" w:hAnsi="Arial"/>
                <w:sz w:val="18"/>
                <w:szCs w:val="18"/>
              </w:rPr>
              <w:t xml:space="preserve">Equity in BVI entity + possible token allocation</w:t>
            </w:r>
          </w:p>
        </w:tc>
      </w:tr>
      <w:tr>
        <w:tc>
          <w:tcPr>
            <w:tcW w:type="dxa" w:w="3360"/>
            <w:tcBorders>
              <w:top w:val="single" w:color="CCCCCC" w:sz="1"/>
              <w:left w:val="single" w:color="CCCCCC" w:sz="1"/>
              <w:bottom w:val="single" w:color="CCCCCC" w:sz="1"/>
              <w:right w:val="single" w:color="CCCCCC" w:sz="1"/>
            </w:tcBorders>
            <w:shd w:fill="F7F7F7" w:val="clear"/>
            <w:tcMar>
              <w:top w:type="dxa" w:w="80"/>
              <w:left w:type="dxa" w:w="120"/>
              <w:bottom w:type="dxa" w:w="80"/>
              <w:right w:type="dxa" w:w="120"/>
            </w:tcMar>
            <w:vAlign w:val="center"/>
          </w:tcPr>
          <w:p>
            <w:pPr>
              <w:jc w:val="left"/>
            </w:pPr>
            <w:r>
              <w:rPr>
                <w:rFonts w:ascii="Arial" w:cs="Arial" w:eastAsia="Arial" w:hAnsi="Arial"/>
                <w:b/>
                <w:bCs/>
                <w:sz w:val="18"/>
                <w:szCs w:val="18"/>
              </w:rPr>
              <w:t xml:space="preserve">Size</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vAlign w:val="center"/>
          </w:tcPr>
          <w:p>
            <w:pPr>
              <w:jc w:val="center"/>
            </w:pPr>
            <w:r>
              <w:rPr>
                <w:rFonts w:ascii="Arial" w:cs="Arial" w:eastAsia="Arial" w:hAnsi="Arial"/>
                <w:sz w:val="18"/>
                <w:szCs w:val="18"/>
              </w:rPr>
              <w:t xml:space="preserve">USD 2M total round</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vAlign w:val="center"/>
          </w:tcPr>
          <w:p>
            <w:pPr>
              <w:jc w:val="center"/>
            </w:pPr>
            <w:r>
              <w:rPr>
                <w:rFonts w:ascii="Arial" w:cs="Arial" w:eastAsia="Arial" w:hAnsi="Arial"/>
                <w:sz w:val="18"/>
                <w:szCs w:val="18"/>
              </w:rPr>
              <w:t xml:space="preserve">Capital plan under formalization</w:t>
            </w:r>
          </w:p>
        </w:tc>
      </w:tr>
      <w:tr>
        <w:tc>
          <w:tcPr>
            <w:tcW w:type="dxa" w:w="3360"/>
            <w:tcBorders>
              <w:top w:val="single" w:color="CCCCCC" w:sz="1"/>
              <w:left w:val="single" w:color="CCCCCC" w:sz="1"/>
              <w:bottom w:val="single" w:color="CCCCCC" w:sz="1"/>
              <w:right w:val="single" w:color="CCCCCC" w:sz="1"/>
            </w:tcBorders>
            <w:shd w:fill="F7F7F7" w:val="clear"/>
            <w:tcMar>
              <w:top w:type="dxa" w:w="80"/>
              <w:left w:type="dxa" w:w="120"/>
              <w:bottom w:type="dxa" w:w="80"/>
              <w:right w:type="dxa" w:w="120"/>
            </w:tcMar>
            <w:vAlign w:val="center"/>
          </w:tcPr>
          <w:p>
            <w:pPr>
              <w:jc w:val="left"/>
            </w:pPr>
            <w:r>
              <w:rPr>
                <w:rFonts w:ascii="Arial" w:cs="Arial" w:eastAsia="Arial" w:hAnsi="Arial"/>
                <w:b/>
                <w:bCs/>
                <w:sz w:val="18"/>
                <w:szCs w:val="18"/>
              </w:rPr>
              <w:t xml:space="preserve">Cap / valuation</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vAlign w:val="center"/>
          </w:tcPr>
          <w:p>
            <w:pPr>
              <w:jc w:val="center"/>
            </w:pPr>
            <w:r>
              <w:rPr>
                <w:rFonts w:ascii="Arial" w:cs="Arial" w:eastAsia="Arial" w:hAnsi="Arial"/>
                <w:sz w:val="18"/>
                <w:szCs w:val="18"/>
              </w:rPr>
              <w:t xml:space="preserve">Cap USD 10–12M</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vAlign w:val="center"/>
          </w:tcPr>
          <w:p>
            <w:pPr>
              <w:jc w:val="center"/>
            </w:pPr>
            <w:r>
              <w:rPr>
                <w:rFonts w:ascii="Arial" w:cs="Arial" w:eastAsia="Arial" w:hAnsi="Arial"/>
                <w:sz w:val="18"/>
                <w:szCs w:val="18"/>
              </w:rPr>
              <w:t xml:space="preserve">TBD</w:t>
            </w:r>
          </w:p>
        </w:tc>
      </w:tr>
      <w:tr>
        <w:tc>
          <w:tcPr>
            <w:tcW w:type="dxa" w:w="3360"/>
            <w:tcBorders>
              <w:top w:val="single" w:color="CCCCCC" w:sz="1"/>
              <w:left w:val="single" w:color="CCCCCC" w:sz="1"/>
              <w:bottom w:val="single" w:color="CCCCCC" w:sz="1"/>
              <w:right w:val="single" w:color="CCCCCC" w:sz="1"/>
            </w:tcBorders>
            <w:shd w:fill="F7F7F7" w:val="clear"/>
            <w:tcMar>
              <w:top w:type="dxa" w:w="80"/>
              <w:left w:type="dxa" w:w="120"/>
              <w:bottom w:type="dxa" w:w="80"/>
              <w:right w:type="dxa" w:w="120"/>
            </w:tcMar>
            <w:vAlign w:val="center"/>
          </w:tcPr>
          <w:p>
            <w:pPr>
              <w:jc w:val="left"/>
            </w:pPr>
            <w:r>
              <w:rPr>
                <w:rFonts w:ascii="Arial" w:cs="Arial" w:eastAsia="Arial" w:hAnsi="Arial"/>
                <w:b/>
                <w:bCs/>
                <w:sz w:val="18"/>
                <w:szCs w:val="18"/>
              </w:rPr>
              <w:t xml:space="preserve">Investor profile</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vAlign w:val="center"/>
          </w:tcPr>
          <w:p>
            <w:pPr>
              <w:jc w:val="center"/>
            </w:pPr>
            <w:r>
              <w:rPr>
                <w:rFonts w:ascii="Arial" w:cs="Arial" w:eastAsia="Arial" w:hAnsi="Arial"/>
                <w:sz w:val="18"/>
                <w:szCs w:val="18"/>
              </w:rPr>
              <w:t xml:space="preserve">Proptech, marketplace, fintech</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vAlign w:val="center"/>
          </w:tcPr>
          <w:p>
            <w:pPr>
              <w:jc w:val="center"/>
            </w:pPr>
            <w:r>
              <w:rPr>
                <w:rFonts w:ascii="Arial" w:cs="Arial" w:eastAsia="Arial" w:hAnsi="Arial"/>
                <w:sz w:val="18"/>
                <w:szCs w:val="18"/>
              </w:rPr>
              <w:t xml:space="preserve">Crypto-native, RWA-focused, institutional Web3</w:t>
            </w:r>
          </w:p>
        </w:tc>
      </w:tr>
      <w:tr>
        <w:tc>
          <w:tcPr>
            <w:tcW w:type="dxa" w:w="3360"/>
            <w:tcBorders>
              <w:top w:val="single" w:color="CCCCCC" w:sz="1"/>
              <w:left w:val="single" w:color="CCCCCC" w:sz="1"/>
              <w:bottom w:val="single" w:color="CCCCCC" w:sz="1"/>
              <w:right w:val="single" w:color="CCCCCC" w:sz="1"/>
            </w:tcBorders>
            <w:shd w:fill="F7F7F7" w:val="clear"/>
            <w:tcMar>
              <w:top w:type="dxa" w:w="80"/>
              <w:left w:type="dxa" w:w="120"/>
              <w:bottom w:type="dxa" w:w="80"/>
              <w:right w:type="dxa" w:w="120"/>
            </w:tcMar>
            <w:vAlign w:val="center"/>
          </w:tcPr>
          <w:p>
            <w:pPr>
              <w:jc w:val="left"/>
            </w:pPr>
            <w:r>
              <w:rPr>
                <w:rFonts w:ascii="Arial" w:cs="Arial" w:eastAsia="Arial" w:hAnsi="Arial"/>
                <w:b/>
                <w:bCs/>
                <w:sz w:val="18"/>
                <w:szCs w:val="18"/>
              </w:rPr>
              <w:t xml:space="preserve">Exposure</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vAlign w:val="center"/>
          </w:tcPr>
          <w:p>
            <w:pPr>
              <w:jc w:val="center"/>
            </w:pPr>
            <w:r>
              <w:rPr>
                <w:rFonts w:ascii="Arial" w:cs="Arial" w:eastAsia="Arial" w:hAnsi="Arial"/>
                <w:sz w:val="18"/>
                <w:szCs w:val="18"/>
              </w:rPr>
              <w:t xml:space="preserve">Property Sales + AI Marketplace + token (Glemo's share)</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vAlign w:val="center"/>
          </w:tcPr>
          <w:p>
            <w:pPr>
              <w:jc w:val="center"/>
            </w:pPr>
            <w:r>
              <w:rPr>
                <w:rFonts w:ascii="Arial" w:cs="Arial" w:eastAsia="Arial" w:hAnsi="Arial"/>
                <w:sz w:val="18"/>
                <w:szCs w:val="18"/>
              </w:rPr>
              <w:t xml:space="preserve">RWA infrastructure for institutional buyers</w:t>
            </w:r>
          </w:p>
        </w:tc>
      </w:tr>
    </w:tbl>
    <w:p>
      <w:pPr>
        <w:spacing w:after="130"/>
      </w:pPr>
      <w:r>
        <w:rPr>
          <w:rFonts w:ascii="Arial" w:cs="Arial" w:eastAsia="Arial" w:hAnsi="Arial"/>
          <w:i/>
          <w:iCs/>
          <w:sz w:val="18"/>
          <w:szCs w:val="18"/>
        </w:rPr>
        <w:t xml:space="preserve">Investors interested in only one of the two opportunities are welcome — the two structures are independent and require no cross-participation. Investors interested in both can structure entry in each separately.</w:t>
      </w:r>
    </w:p>
    <w:p>
      <w:pPr>
        <w:pStyle w:val="Heading1"/>
      </w:pPr>
      <w:r>
        <w:rPr>
          <w:rFonts w:ascii="Arial" w:cs="Arial" w:eastAsia="Arial" w:hAnsi="Arial"/>
          <w:color w:val="0A1628"/>
          <w:sz w:val="20"/>
          <w:szCs w:val="20"/>
        </w:rPr>
        <w:t xml:space="preserve">Next steps</w:t>
      </w:r>
    </w:p>
    <w:p>
      <w:pPr>
        <w:spacing w:after="130"/>
      </w:pPr>
      <w:r>
        <w:rPr>
          <w:rFonts w:ascii="Arial" w:cs="Arial" w:eastAsia="Arial" w:hAnsi="Arial"/>
          <w:sz w:val="20"/>
          <w:szCs w:val="20"/>
        </w:rPr>
        <w:t xml:space="preserve">Investors interested in either layer are welcome to reach out for a deep dive call. Reference materials available upon request: full pre-seed deck, traction briefing, financial model, cap table, partnership contracts (under NDA).</w:t>
      </w:r>
    </w:p>
    <w:p>
      <w:pPr>
        <w:spacing w:after="130"/>
      </w:pPr>
      <w:r>
        <w:rPr>
          <w:rFonts w:ascii="Arial" w:cs="Arial" w:eastAsia="Arial" w:hAnsi="Arial"/>
          <w:b/>
          <w:bCs/>
          <w:sz w:val="20"/>
          <w:szCs w:val="20"/>
        </w:rPr>
        <w:t xml:space="preserve">Contact: </w:t>
      </w:r>
      <w:r>
        <w:rPr>
          <w:rFonts w:ascii="Arial" w:cs="Arial" w:eastAsia="Arial" w:hAnsi="Arial"/>
          <w:sz w:val="20"/>
          <w:szCs w:val="20"/>
        </w:rPr>
        <w:t xml:space="preserve">Gleisson Herit · gleisson@glemo.co · WhatsApp +55 32 99593-4949 · Telegram @gleissao007</w:t>
      </w:r>
    </w:p>
    <w:p>
      <w:pPr>
        <w:pBdr>
          <w:top w:val="single" w:color="CCCCCC" w:sz="4" w:space="6"/>
        </w:pBdr>
        <w:spacing w:before="250"/>
      </w:pPr>
      <w:r>
        <w:rPr>
          <w:rFonts w:ascii="Arial" w:cs="Arial" w:eastAsia="Arial" w:hAnsi="Arial"/>
          <w:i/>
          <w:iCs/>
          <w:color w:val="595959"/>
          <w:sz w:val="15"/>
          <w:szCs w:val="15"/>
        </w:rPr>
        <w:t xml:space="preserve">This document is provided for the recipient's evaluation of a potential investment in Glemo and/or the RWA spin-out entity. Distribution without written consent is prohibited. Forward-looking statements (tokenomics, FDV, TGE, listings, partnerships) are working assumptions subject to whitepaper finalization, legal review, and market conditions. This document does not constitute an offer to sell or a solicitation of an offer to buy any securities or tokens in any jurisdiction.</w:t>
      </w:r>
    </w:p>
    <w:sectPr>
      <w:footerReference w:type="default" r:id="rId7"/>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595959"/>
        <w:sz w:val="14"/>
        <w:szCs w:val="14"/>
      </w:rPr>
      <w:t xml:space="preserve">Glemo — Web3 View  |  Confidential  |  Page </w:t>
    </w:r>
    <w:r>
      <w:rPr>
        <w:rFonts w:ascii="Arial" w:cs="Arial" w:eastAsia="Arial" w:hAnsi="Arial"/>
        <w:color w:val="595959"/>
        <w:sz w:val="14"/>
        <w:szCs w:val="14"/>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8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Arial" w:cs="Arial" w:eastAsia="Arial" w:hAnsi="Arial"/>
      <w:b/>
      <w:bCs/>
      <w:color w:val="0A1628"/>
      <w:sz w:val="28"/>
      <w:szCs w:val="28"/>
    </w:rPr>
  </w:style>
  <w:style w:type="paragraph" w:styleId="Heading2">
    <w:name w:val="Heading 2"/>
    <w:basedOn w:val="Normal"/>
    <w:next w:val="Normal"/>
    <w:qFormat/>
    <w:pPr>
      <w:spacing w:after="110" w:before="220"/>
      <w:outlineLvl w:val="1"/>
    </w:pPr>
    <w:rPr>
      <w:rFonts w:ascii="Arial" w:cs="Arial" w:eastAsia="Arial" w:hAnsi="Arial"/>
      <w:b/>
      <w:bCs/>
      <w:color w:val="B8902A"/>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2026-06-05T06:44:16.737Z</dcterms:created>
  <dcterms:modified xsi:type="dcterms:W3CDTF">2026-06-05T06:44:16.737Z</dcterms:modified>
</cp:coreProperties>
</file>

<file path=docProps/custom.xml><?xml version="1.0" encoding="utf-8"?>
<Properties xmlns="http://schemas.openxmlformats.org/officeDocument/2006/custom-properties" xmlns:vt="http://schemas.openxmlformats.org/officeDocument/2006/docPropsVTypes"/>
</file>