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/>
      </w:pPr>
      <w:r>
        <w:rPr>
          <w:rFonts w:ascii="Arial" w:cs="Arial" w:eastAsia="Arial" w:hAnsi="Arial"/>
          <w:b/>
          <w:bCs/>
          <w:color w:val="08122A"/>
          <w:sz w:val="22"/>
          <w:szCs w:val="22"/>
        </w:rPr>
        <w:t xml:space="preserve">GLEMO</w:t>
      </w:r>
    </w:p>
    <w:p>
      <w:pPr>
        <w:spacing w:after="40"/>
      </w:pPr>
      <w:r>
        <w:rPr>
          <w:rFonts w:ascii="Arial" w:cs="Arial" w:eastAsia="Arial" w:hAnsi="Arial"/>
          <w:b/>
          <w:bCs/>
          <w:color w:val="08122A"/>
          <w:sz w:val="30"/>
          <w:szCs w:val="30"/>
        </w:rPr>
        <w:t xml:space="preserve">Operational Traction — Deep Dive Briefing</w:t>
      </w:r>
    </w:p>
    <w:p>
      <w:pPr>
        <w:pBdr>
          <w:bottom w:val="single" w:color="B8902A" w:sz="6" w:space="1"/>
        </w:pBdr>
        <w:spacing w:after="160"/>
      </w:pPr>
      <w:r>
        <w:rPr>
          <w:rFonts w:ascii="Arial" w:cs="Arial" w:eastAsia="Arial" w:hAnsi="Arial"/>
          <w:i/>
          <w:iCs/>
          <w:color w:val="595959"/>
          <w:sz w:val="18"/>
          <w:szCs w:val="18"/>
        </w:rPr>
        <w:t xml:space="preserve">Mature pilot unit economics, active domestic ramp-up, and international expansion in execution</w:t>
      </w:r>
    </w:p>
    <w:p>
      <w:pPr>
        <w:spacing w:after="200"/>
      </w:pPr>
      <w:r>
        <w:rPr>
          <w:rFonts w:ascii="Arial" w:cs="Arial" w:eastAsia="Arial" w:hAnsi="Arial"/>
          <w:color w:val="595959"/>
          <w:sz w:val="17"/>
          <w:szCs w:val="17"/>
        </w:rPr>
        <w:t xml:space="preserve">Prepared: June 2026  ·  </w:t>
      </w:r>
      <w:r>
        <w:rPr>
          <w:rFonts w:ascii="Arial" w:cs="Arial" w:eastAsia="Arial" w:hAnsi="Arial"/>
          <w:i/>
          <w:iCs/>
          <w:color w:val="595959"/>
          <w:sz w:val="17"/>
          <w:szCs w:val="17"/>
        </w:rPr>
        <w:t xml:space="preserve">Document is confidential. All figures reconciled from internal operational data.</w:t>
      </w:r>
    </w:p>
    <w:p>
      <w:pPr>
        <w:pStyle w:val="Heading1"/>
      </w:pPr>
      <w:r>
        <w:rPr>
          <w:rFonts w:ascii="Arial" w:cs="Arial" w:eastAsia="Arial" w:hAnsi="Arial"/>
          <w:color w:val="08122A"/>
          <w:sz w:val="20"/>
          <w:szCs w:val="20"/>
        </w:rPr>
        <w:t xml:space="preserve">Executive summary</w:t>
      </w:r>
    </w:p>
    <w:p>
      <w:pPr>
        <w:spacing w:after="130"/>
      </w:pPr>
      <w:r>
        <w:rPr>
          <w:rFonts w:ascii="Arial" w:cs="Arial" w:eastAsia="Arial" w:hAnsi="Arial"/>
          <w:sz w:val="20"/>
          <w:szCs w:val="20"/>
        </w:rPr>
        <w:t xml:space="preserve">Glemo operates under a single commercial model — </w:t>
      </w:r>
      <w:r>
        <w:rPr>
          <w:rFonts w:ascii="Arial" w:cs="Arial" w:eastAsia="Arial" w:hAnsi="Arial"/>
          <w:b/>
          <w:bCs/>
          <w:sz w:val="20"/>
          <w:szCs w:val="20"/>
        </w:rPr>
        <w:t xml:space="preserve">the originator (Glemo) bears the full funnel risk and receives 2% net commission only upon closed sale</w:t>
      </w:r>
      <w:r>
        <w:rPr>
          <w:rFonts w:ascii="Arial" w:cs="Arial" w:eastAsia="Arial" w:hAnsi="Arial"/>
          <w:sz w:val="20"/>
          <w:szCs w:val="20"/>
        </w:rPr>
        <w:t xml:space="preserve">. This model has been validated across three mature pilots (BRZ, Rôgga, SENSIA), is currently being deployed across three active Brazilian partnerships (Vivaz/Cyrela, Canopus, MRV — with Lopes operating the conversion layer), and is in active international ramp-up (Dubai, with Florida launch June 16, 2026).</w:t>
      </w:r>
    </w:p>
    <w:p>
      <w:pPr>
        <w:spacing w:after="200"/>
      </w:pPr>
      <w:r>
        <w:rPr>
          <w:rFonts w:ascii="Arial" w:cs="Arial" w:eastAsia="Arial" w:hAnsi="Arial"/>
          <w:sz w:val="20"/>
          <w:szCs w:val="20"/>
        </w:rPr>
        <w:t xml:space="preserve">This briefing presents three blocks: (1) mature pilot unit economics with segment breakdown; (2) active operations in ramp-up phase with capital deployed and expected first-return cycle; (3) international expansion already in execution per stated roadmap.</w:t>
      </w:r>
    </w:p>
    <w:p>
      <w:pPr>
        <w:pStyle w:val="Heading1"/>
      </w:pPr>
      <w:r>
        <w:rPr>
          <w:rFonts w:ascii="Arial" w:cs="Arial" w:eastAsia="Arial" w:hAnsi="Arial"/>
          <w:color w:val="08122A"/>
          <w:sz w:val="20"/>
          <w:szCs w:val="20"/>
        </w:rPr>
        <w:t xml:space="preserve">Block 1 — Mature pilot unit economics (validated)</w:t>
      </w:r>
    </w:p>
    <w:p>
      <w:pPr>
        <w:spacing w:after="130"/>
      </w:pPr>
      <w:r>
        <w:rPr>
          <w:rFonts w:ascii="Arial" w:cs="Arial" w:eastAsia="Arial" w:hAnsi="Arial"/>
          <w:i/>
          <w:iCs/>
          <w:color w:val="595959"/>
          <w:sz w:val="18"/>
          <w:szCs w:val="18"/>
        </w:rPr>
        <w:t xml:space="preserve">Three pilots, three counterparties, two market segments. All figures verified against internal operational records.</w:t>
      </w:r>
    </w:p>
    <w:p>
      <w:pPr>
        <w:pStyle w:val="Heading2"/>
      </w:pPr>
      <w:r>
        <w:rPr>
          <w:rFonts w:ascii="Arial" w:cs="Arial" w:eastAsia="Arial" w:hAnsi="Arial"/>
          <w:color w:val="B8902A"/>
          <w:sz w:val="20"/>
          <w:szCs w:val="20"/>
        </w:rPr>
        <w:t xml:space="preserve">Economic segment (MCMV / affordable housing)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20"/>
        <w:gridCol w:w="1260"/>
        <w:gridCol w:w="1260"/>
        <w:gridCol w:w="1260"/>
        <w:gridCol w:w="1260"/>
        <w:gridCol w:w="1260"/>
        <w:gridCol w:w="1260"/>
      </w:tblGrid>
      <w:tr>
        <w:trPr>
          <w:tblHeader/>
        </w:trPr>
        <w:tc>
          <w:tcPr>
            <w:tcW w:type="dxa" w:w="25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08122A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Counterparty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08122A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Period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08122A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Spend (BRL)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08122A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Refined leads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08122A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Closed sales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08122A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Conv. ref.→sale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08122A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Net revenue (BRL)</w:t>
            </w:r>
          </w:p>
        </w:tc>
      </w:tr>
      <w:tr>
        <w:tc>
          <w:tcPr>
            <w:tcW w:type="dxa" w:w="25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BRZ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7"/>
                <w:szCs w:val="17"/>
              </w:rPr>
              <w:t xml:space="preserve">Mar 2026 → ongoing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4,000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13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4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30.8%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32,000</w:t>
            </w:r>
          </w:p>
        </w:tc>
      </w:tr>
    </w:tbl>
    <w:p>
      <w:pPr>
        <w:spacing w:after="160"/>
      </w:pPr>
      <w:r>
        <w:rPr>
          <w:rFonts w:ascii="Arial" w:cs="Arial" w:eastAsia="Arial" w:hAnsi="Arial"/>
          <w:i/>
          <w:iCs/>
          <w:color w:val="595959"/>
          <w:sz w:val="17"/>
          <w:szCs w:val="17"/>
        </w:rPr>
        <w:t xml:space="preserve">Economic-segment notes: small-batch, high-touch refinement. High conversion reflects quality-controlled lead curation — not directly extrapolable to high-volume scale (see Block 4).</w:t>
      </w:r>
    </w:p>
    <w:p>
      <w:pPr>
        <w:pStyle w:val="Heading2"/>
      </w:pPr>
      <w:r>
        <w:rPr>
          <w:rFonts w:ascii="Arial" w:cs="Arial" w:eastAsia="Arial" w:hAnsi="Arial"/>
          <w:color w:val="B8902A"/>
          <w:sz w:val="20"/>
          <w:szCs w:val="20"/>
        </w:rPr>
        <w:t xml:space="preserve">Mid/upper segment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20"/>
        <w:gridCol w:w="1260"/>
        <w:gridCol w:w="1260"/>
        <w:gridCol w:w="1260"/>
        <w:gridCol w:w="1260"/>
        <w:gridCol w:w="1260"/>
        <w:gridCol w:w="1260"/>
      </w:tblGrid>
      <w:tr>
        <w:trPr>
          <w:tblHeader/>
        </w:trPr>
        <w:tc>
          <w:tcPr>
            <w:tcW w:type="dxa" w:w="25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08122A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Counterparty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08122A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Period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08122A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Spend (BRL)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08122A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Refined leads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08122A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Closed sales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08122A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Conv. ref.→sale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08122A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Net revenue (BRL)</w:t>
            </w:r>
          </w:p>
        </w:tc>
      </w:tr>
      <w:tr>
        <w:tc>
          <w:tcPr>
            <w:tcW w:type="dxa" w:w="25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Rôgga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7"/>
                <w:szCs w:val="17"/>
              </w:rPr>
              <w:t xml:space="preserve">May 2026 → ongoing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5,000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115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4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3.5%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64,000</w:t>
            </w:r>
          </w:p>
        </w:tc>
      </w:tr>
      <w:tr>
        <w:tc>
          <w:tcPr>
            <w:tcW w:type="dxa" w:w="25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7F7F7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SENSIA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7F7F7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7"/>
                <w:szCs w:val="17"/>
              </w:rPr>
              <w:t xml:space="preserve">Jan → Mar 2026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7F7F7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4,000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7F7F7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233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7F7F7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12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7F7F7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5.2%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7F7F7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156,000</w:t>
            </w:r>
          </w:p>
        </w:tc>
      </w:tr>
      <w:tr>
        <w:tc>
          <w:tcPr>
            <w:tcW w:type="dxa" w:w="25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BF3DD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Subtotal mid/upper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BF3DD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—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BF3DD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9,000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BF3DD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348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BF3DD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16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BF3DD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4.6%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BF3DD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220,000</w:t>
            </w:r>
          </w:p>
        </w:tc>
      </w:tr>
    </w:tbl>
    <w:p>
      <w:pPr>
        <w:spacing w:after="160"/>
      </w:pPr>
      <w:r>
        <w:rPr>
          <w:rFonts w:ascii="Arial" w:cs="Arial" w:eastAsia="Arial" w:hAnsi="Arial"/>
          <w:i/>
          <w:iCs/>
          <w:color w:val="595959"/>
          <w:sz w:val="17"/>
          <w:szCs w:val="17"/>
        </w:rPr>
        <w:t xml:space="preserve">Mid/upper-segment notes: longer decision cycles, larger ticket sizes (BRL 600K–800K). Conversion rate stabilizes around 3–5% across larger lead volumes — consistent with industry benchmarks for this segment.</w:t>
      </w:r>
    </w:p>
    <w:p>
      <w:pPr>
        <w:pStyle w:val="Heading2"/>
      </w:pPr>
      <w:r>
        <w:rPr>
          <w:rFonts w:ascii="Arial" w:cs="Arial" w:eastAsia="Arial" w:hAnsi="Arial"/>
          <w:color w:val="B8902A"/>
          <w:sz w:val="20"/>
          <w:szCs w:val="20"/>
        </w:rPr>
        <w:t xml:space="preserve">Aggregate mature pilots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360"/>
        <w:gridCol w:w="3360"/>
        <w:gridCol w:w="3360"/>
      </w:tblGrid>
      <w:tr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Total spend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Total closed sales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Net revenue generated</w:t>
            </w:r>
          </w:p>
        </w:tc>
      </w:tr>
      <w:tr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8122A"/>
                <w:sz w:val="24"/>
                <w:szCs w:val="24"/>
              </w:rPr>
              <w:t xml:space="preserve">BRL 13,000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8122A"/>
                <w:sz w:val="24"/>
                <w:szCs w:val="24"/>
              </w:rPr>
              <w:t xml:space="preserve">20 closed (+20 in funnel)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08122A"/>
                <w:sz w:val="24"/>
                <w:szCs w:val="24"/>
              </w:rPr>
              <w:t xml:space="preserve">BRL 252,000</w:t>
            </w:r>
          </w:p>
        </w:tc>
      </w:tr>
      <w:tr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Cost per closed sale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ROAS (revenue/spend)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Implied avg ticket</w:t>
            </w:r>
          </w:p>
        </w:tc>
      </w:tr>
      <w:tr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2E7D32"/>
                <w:sz w:val="24"/>
                <w:szCs w:val="24"/>
              </w:rPr>
              <w:t xml:space="preserve">BRL 650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2E7D32"/>
                <w:sz w:val="24"/>
                <w:szCs w:val="24"/>
              </w:rPr>
              <w:t xml:space="preserve">19.4×</w:t>
            </w:r>
          </w:p>
        </w:tc>
        <w:tc>
          <w:tcPr>
            <w:tcW w:type="dxa" w:w="3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2E7D32"/>
                <w:sz w:val="24"/>
                <w:szCs w:val="24"/>
              </w:rPr>
              <w:t xml:space="preserve">BRL 630K</w:t>
            </w:r>
          </w:p>
        </w:tc>
      </w:tr>
    </w:tbl>
    <w:p>
      <w:pPr>
        <w:spacing w:after="220"/>
      </w:pPr>
      <w:r>
        <w:rPr>
          <w:rFonts w:ascii="Arial" w:cs="Arial" w:eastAsia="Arial" w:hAnsi="Arial"/>
          <w:b/>
          <w:bCs/>
          <w:sz w:val="18"/>
          <w:szCs w:val="18"/>
        </w:rPr>
        <w:t xml:space="preserve">Cash position note: </w:t>
      </w:r>
      <w:r>
        <w:rPr>
          <w:rFonts w:ascii="Arial" w:cs="Arial" w:eastAsia="Arial" w:hAnsi="Arial"/>
          <w:i/>
          <w:iCs/>
          <w:color w:val="595959"/>
          <w:sz w:val="18"/>
          <w:szCs w:val="18"/>
        </w:rPr>
        <w:t xml:space="preserve">Closed sales reflect signed contracts with commission rights. Brazilian MCMV cash cycle is 4–6 months from contract to commission in cash. Portion of BRL 252K already realized in cash; remainder in normal recovery cycle, no default events recorded.</w:t>
      </w:r>
    </w:p>
    <w:p>
      <w:pPr>
        <w:pStyle w:val="Heading1"/>
      </w:pPr>
      <w:r>
        <w:rPr>
          <w:rFonts w:ascii="Arial" w:cs="Arial" w:eastAsia="Arial" w:hAnsi="Arial"/>
          <w:color w:val="08122A"/>
          <w:sz w:val="20"/>
          <w:szCs w:val="20"/>
        </w:rPr>
        <w:t xml:space="preserve">Block 2 — Active domestic ramp-up (capital deployed)</w:t>
      </w:r>
    </w:p>
    <w:p>
      <w:pPr>
        <w:spacing w:after="130"/>
      </w:pPr>
      <w:r>
        <w:rPr>
          <w:rFonts w:ascii="Arial" w:cs="Arial" w:eastAsia="Arial" w:hAnsi="Arial"/>
          <w:sz w:val="20"/>
          <w:szCs w:val="20"/>
        </w:rPr>
        <w:t xml:space="preserve">Three signed partnerships activated June 2026. Capital allocated in disciplined pilot tranches; first revenue cycle expected Q4 2026 per MCMV cash cycle. </w:t>
      </w:r>
      <w:r>
        <w:rPr>
          <w:rFonts w:ascii="Arial" w:cs="Arial" w:eastAsia="Arial" w:hAnsi="Arial"/>
          <w:b/>
          <w:bCs/>
          <w:sz w:val="20"/>
          <w:szCs w:val="20"/>
        </w:rPr>
        <w:t xml:space="preserve">Not included in mature-pilot unit economics aggregate.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520"/>
        <w:gridCol w:w="1680"/>
        <w:gridCol w:w="1260"/>
        <w:gridCol w:w="1680"/>
        <w:gridCol w:w="1680"/>
        <w:gridCol w:w="1260"/>
      </w:tblGrid>
      <w:tr>
        <w:trPr>
          <w:tblHeader/>
        </w:trPr>
        <w:tc>
          <w:tcPr>
            <w:tcW w:type="dxa" w:w="25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08122A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Partnership</w:t>
            </w:r>
          </w:p>
        </w:tc>
        <w:tc>
          <w:tcPr>
            <w:tcW w:type="dxa" w:w="1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08122A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Status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08122A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Segment</w:t>
            </w:r>
          </w:p>
        </w:tc>
        <w:tc>
          <w:tcPr>
            <w:tcW w:type="dxa" w:w="1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08122A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Start</w:t>
            </w:r>
          </w:p>
        </w:tc>
        <w:tc>
          <w:tcPr>
            <w:tcW w:type="dxa" w:w="1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08122A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Spend allocated (BRL)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08122A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First return</w:t>
            </w:r>
          </w:p>
        </w:tc>
      </w:tr>
      <w:tr>
        <w:tc>
          <w:tcPr>
            <w:tcW w:type="dxa" w:w="25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Vivaz/Cyrela</w:t>
            </w:r>
          </w:p>
        </w:tc>
        <w:tc>
          <w:tcPr>
            <w:tcW w:type="dxa" w:w="1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7"/>
                <w:szCs w:val="17"/>
              </w:rPr>
              <w:t xml:space="preserve">Signed pilot in progress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Economic</w:t>
            </w:r>
          </w:p>
        </w:tc>
        <w:tc>
          <w:tcPr>
            <w:tcW w:type="dxa" w:w="1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Jun 2026</w:t>
            </w:r>
          </w:p>
        </w:tc>
        <w:tc>
          <w:tcPr>
            <w:tcW w:type="dxa" w:w="1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3,000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7"/>
                <w:szCs w:val="17"/>
              </w:rPr>
              <w:t xml:space="preserve">Q4 2026</w:t>
            </w:r>
          </w:p>
        </w:tc>
      </w:tr>
      <w:tr>
        <w:tc>
          <w:tcPr>
            <w:tcW w:type="dxa" w:w="25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7F7F7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Canopus</w:t>
            </w:r>
          </w:p>
        </w:tc>
        <w:tc>
          <w:tcPr>
            <w:tcW w:type="dxa" w:w="1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7F7F7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7"/>
                <w:szCs w:val="17"/>
              </w:rPr>
              <w:t xml:space="preserve">Signed pilot in progress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7F7F7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High-end</w:t>
            </w:r>
          </w:p>
        </w:tc>
        <w:tc>
          <w:tcPr>
            <w:tcW w:type="dxa" w:w="1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7F7F7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Jun 2026</w:t>
            </w:r>
          </w:p>
        </w:tc>
        <w:tc>
          <w:tcPr>
            <w:tcW w:type="dxa" w:w="1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7F7F7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3,000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7F7F7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7"/>
                <w:szCs w:val="17"/>
              </w:rPr>
              <w:t xml:space="preserve">Q4 2026</w:t>
            </w:r>
          </w:p>
        </w:tc>
      </w:tr>
      <w:tr>
        <w:tc>
          <w:tcPr>
            <w:tcW w:type="dxa" w:w="25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MRV (open channel)</w:t>
            </w:r>
          </w:p>
        </w:tc>
        <w:tc>
          <w:tcPr>
            <w:tcW w:type="dxa" w:w="1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7"/>
                <w:szCs w:val="17"/>
              </w:rPr>
              <w:t xml:space="preserve">Active operation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Economic</w:t>
            </w:r>
          </w:p>
        </w:tc>
        <w:tc>
          <w:tcPr>
            <w:tcW w:type="dxa" w:w="1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Jun 2026</w:t>
            </w:r>
          </w:p>
        </w:tc>
        <w:tc>
          <w:tcPr>
            <w:tcW w:type="dxa" w:w="1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20,000</w:t>
            </w:r>
          </w:p>
        </w:tc>
        <w:tc>
          <w:tcPr>
            <w:tcW w:type="dxa" w:w="12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7"/>
                <w:szCs w:val="17"/>
              </w:rPr>
              <w:t xml:space="preserve">Q4 2026</w:t>
            </w:r>
          </w:p>
        </w:tc>
      </w:tr>
      <w:tr>
        <w:tc>
          <w:tcPr>
            <w:tcW w:type="dxa" w:w="25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BF3DD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Conversion layer</w:t>
            </w:r>
          </w:p>
        </w:tc>
        <w:tc>
          <w:tcPr>
            <w:tcW w:type="dxa" w:w="88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BF3DD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sz w:val="17"/>
                <w:szCs w:val="17"/>
              </w:rPr>
              <w:t xml:space="preserve">Lopes (B3-listed brokerage) + partner agencies SP/RJ/MG</w:t>
            </w:r>
          </w:p>
        </w:tc>
      </w:tr>
    </w:tbl>
    <w:p>
      <w:pPr>
        <w:spacing w:after="220"/>
      </w:pPr>
      <w:r>
        <w:rPr>
          <w:rFonts w:ascii="Arial" w:cs="Arial" w:eastAsia="Arial" w:hAnsi="Arial"/>
          <w:b/>
          <w:bCs/>
          <w:sz w:val="18"/>
          <w:szCs w:val="18"/>
        </w:rPr>
        <w:t xml:space="preserve">Operational rationale: </w:t>
      </w:r>
      <w:r>
        <w:rPr>
          <w:rFonts w:ascii="Arial" w:cs="Arial" w:eastAsia="Arial" w:hAnsi="Arial"/>
          <w:sz w:val="18"/>
          <w:szCs w:val="18"/>
        </w:rPr>
        <w:t xml:space="preserve">Vivaz/Cyrela operates against a contractual target of 5% of ~12K annual units (≈600 closings/year), with broker SLA from counterparty. MRV provides open inventory access (Brazil's largest homebuilder). Canopus addresses the high-ticket segment at lower volume / higher ticket size.</w:t>
      </w:r>
    </w:p>
    <w:p>
      <w:pPr>
        <w:pStyle w:val="Heading1"/>
      </w:pPr>
      <w:r>
        <w:rPr>
          <w:rFonts w:ascii="Arial" w:cs="Arial" w:eastAsia="Arial" w:hAnsi="Arial"/>
          <w:color w:val="08122A"/>
          <w:sz w:val="20"/>
          <w:szCs w:val="20"/>
        </w:rPr>
        <w:t xml:space="preserve">Block 3 — International expansion in execution</w:t>
      </w:r>
    </w:p>
    <w:p>
      <w:pPr>
        <w:spacing w:after="130"/>
      </w:pPr>
      <w:r>
        <w:rPr>
          <w:rFonts w:ascii="Arial" w:cs="Arial" w:eastAsia="Arial" w:hAnsi="Arial"/>
          <w:sz w:val="20"/>
          <w:szCs w:val="20"/>
        </w:rPr>
        <w:t xml:space="preserve">Per the geographic-corridor roadmap stated in our investor questionnaire response. Same commercial model as Brazil — Glemo originates and refines the funnel; local licensed partners execute the close.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800"/>
        <w:gridCol w:w="1680"/>
        <w:gridCol w:w="1680"/>
        <w:gridCol w:w="1500"/>
        <w:gridCol w:w="1500"/>
        <w:gridCol w:w="1920"/>
      </w:tblGrid>
      <w:tr>
        <w:trPr>
          <w:tblHeader/>
        </w:trP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08122A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Market</w:t>
            </w:r>
          </w:p>
        </w:tc>
        <w:tc>
          <w:tcPr>
            <w:tcW w:type="dxa" w:w="1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08122A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Status</w:t>
            </w:r>
          </w:p>
        </w:tc>
        <w:tc>
          <w:tcPr>
            <w:tcW w:type="dxa" w:w="1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08122A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Launch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08122A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Products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08122A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Avg ticket</w:t>
            </w:r>
          </w:p>
        </w:tc>
        <w:tc>
          <w:tcPr>
            <w:tcW w:type="dxa" w:w="19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08122A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Initial spend (BRL)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Dubai</w:t>
            </w:r>
          </w:p>
        </w:tc>
        <w:tc>
          <w:tcPr>
            <w:tcW w:type="dxa" w:w="1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2E7D32"/>
                <w:sz w:val="18"/>
                <w:szCs w:val="18"/>
              </w:rPr>
              <w:t xml:space="preserve">Live</w:t>
            </w:r>
          </w:p>
        </w:tc>
        <w:tc>
          <w:tcPr>
            <w:tcW w:type="dxa" w:w="1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May 2026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2 selected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≈ BRL 1.0M</w:t>
            </w:r>
          </w:p>
        </w:tc>
        <w:tc>
          <w:tcPr>
            <w:tcW w:type="dxa" w:w="19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6,000 (3K × 2)</w:t>
            </w:r>
          </w:p>
        </w:tc>
      </w:tr>
      <w:tr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7F7F7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Florida (US)</w:t>
            </w:r>
          </w:p>
        </w:tc>
        <w:tc>
          <w:tcPr>
            <w:tcW w:type="dxa" w:w="1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7F7F7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7"/>
                <w:szCs w:val="17"/>
              </w:rPr>
              <w:t xml:space="preserve">Launch scheduled</w:t>
            </w:r>
          </w:p>
        </w:tc>
        <w:tc>
          <w:tcPr>
            <w:tcW w:type="dxa" w:w="1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7F7F7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Jun 16, 2026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7F7F7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2 selected</w:t>
            </w:r>
          </w:p>
        </w:tc>
        <w:tc>
          <w:tcPr>
            <w:tcW w:type="dxa" w:w="15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7F7F7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TBD</w:t>
            </w:r>
          </w:p>
        </w:tc>
        <w:tc>
          <w:tcPr>
            <w:tcW w:type="dxa" w:w="19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7F7F7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6,000 (3K × 2)</w:t>
            </w:r>
          </w:p>
        </w:tc>
      </w:tr>
    </w:tbl>
    <w:p>
      <w:pPr>
        <w:spacing w:after="130"/>
      </w:pPr>
      <w:r>
        <w:rPr>
          <w:rFonts w:ascii="Arial" w:cs="Arial" w:eastAsia="Arial" w:hAnsi="Arial"/>
          <w:b/>
          <w:bCs/>
          <w:sz w:val="18"/>
          <w:szCs w:val="18"/>
        </w:rPr>
        <w:t xml:space="preserve">Operating structure: </w:t>
      </w:r>
      <w:r>
        <w:rPr>
          <w:rFonts w:ascii="Arial" w:cs="Arial" w:eastAsia="Arial" w:hAnsi="Arial"/>
          <w:sz w:val="18"/>
          <w:szCs w:val="18"/>
        </w:rPr>
        <w:t xml:space="preserve">Glemo operates lead generation and refinement; transaction execution by locally-licensed partners. Florida: [Partner local Flórida]. Dubai: [Partner local Dubai]. Same operational model as Brazil (Lopes operating closure of MRV and Cyrela inventory).</w:t>
      </w:r>
    </w:p>
    <w:p>
      <w:pPr>
        <w:spacing w:after="220"/>
      </w:pPr>
      <w:r>
        <w:rPr>
          <w:rFonts w:ascii="Arial" w:cs="Arial" w:eastAsia="Arial" w:hAnsi="Arial"/>
          <w:sz w:val="18"/>
          <w:szCs w:val="18"/>
        </w:rPr>
        <w:t xml:space="preserve">First international KPIs (funnel volume, conversion benchmarks) expected Q3 2026 as deliberate small-tranche test designed to validate adaptation of the Brazilian funnel model to each jurisdiction before scale-up commitment.</w:t>
      </w:r>
    </w:p>
    <w:p>
      <w:pPr>
        <w:pStyle w:val="Heading1"/>
      </w:pPr>
      <w:r>
        <w:rPr>
          <w:rFonts w:ascii="Arial" w:cs="Arial" w:eastAsia="Arial" w:hAnsi="Arial"/>
          <w:color w:val="08122A"/>
          <w:sz w:val="20"/>
          <w:szCs w:val="20"/>
        </w:rPr>
        <w:t xml:space="preserve">Block 4 — Scale assumption and Vivaz/Cyrela target feasibility</w:t>
      </w:r>
    </w:p>
    <w:p>
      <w:pPr>
        <w:spacing w:after="130"/>
      </w:pPr>
      <w:r>
        <w:rPr>
          <w:rFonts w:ascii="Arial" w:cs="Arial" w:eastAsia="Arial" w:hAnsi="Arial"/>
          <w:b/>
          <w:bCs/>
          <w:sz w:val="20"/>
          <w:szCs w:val="20"/>
        </w:rPr>
        <w:t xml:space="preserve">Honest framing: </w:t>
      </w:r>
      <w:r>
        <w:rPr>
          <w:rFonts w:ascii="Arial" w:cs="Arial" w:eastAsia="Arial" w:hAnsi="Arial"/>
          <w:sz w:val="20"/>
          <w:szCs w:val="20"/>
        </w:rPr>
        <w:t xml:space="preserve">the ROAS observed in mature pilots (19.4×) reflects small-batch operations with high-quality lead curation. We do not project this ROAS at scale. The pre-seed round funds the validation of the model at medium scale, against a defined target.</w:t>
      </w:r>
    </w:p>
    <w:p>
      <w:pPr>
        <w:pStyle w:val="Heading2"/>
      </w:pPr>
      <w:r>
        <w:rPr>
          <w:rFonts w:ascii="Arial" w:cs="Arial" w:eastAsia="Arial" w:hAnsi="Arial"/>
          <w:color w:val="B8902A"/>
          <w:sz w:val="20"/>
          <w:szCs w:val="20"/>
        </w:rPr>
        <w:t xml:space="preserve">Vivaz/Cyrela target feasibility (economic segment)</w:t>
      </w:r>
    </w:p>
    <w:p>
      <w:pPr>
        <w:spacing w:after="100"/>
      </w:pPr>
      <w:r>
        <w:rPr>
          <w:rFonts w:ascii="Arial" w:cs="Arial" w:eastAsia="Arial" w:hAnsi="Arial"/>
          <w:sz w:val="20"/>
          <w:szCs w:val="20"/>
        </w:rPr>
        <w:t xml:space="preserve">Contractual target: 5% of ≈12K annual units = 600 closings/year. Calculation using mature-pilot economic-segment conversion (30.8% refined→sale) and cost per sale (BRL 650):</w:t>
      </w:r>
    </w:p>
    <w:tbl>
      <w:tblPr>
        <w:tblW w:type="dxa" w:w="1008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700"/>
        <w:gridCol w:w="3190"/>
        <w:gridCol w:w="3190"/>
      </w:tblGrid>
      <w:tr>
        <w:trPr>
          <w:tblHeader/>
        </w:trPr>
        <w:tc>
          <w:tcPr>
            <w:tcW w:type="dxa" w:w="3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08122A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Scenario</w:t>
            </w:r>
          </w:p>
        </w:tc>
        <w:tc>
          <w:tcPr>
            <w:tcW w:type="dxa" w:w="31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08122A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Annual media spend required</w:t>
            </w:r>
          </w:p>
        </w:tc>
        <w:tc>
          <w:tcPr>
            <w:tcW w:type="dxa" w:w="31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08122A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% of round Property budget (USD 500K)</w:t>
            </w:r>
          </w:p>
        </w:tc>
      </w:tr>
      <w:tr>
        <w:tc>
          <w:tcPr>
            <w:tcW w:type="dxa" w:w="3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Pilot ROAS holds at scale (19×)</w:t>
            </w:r>
          </w:p>
        </w:tc>
        <w:tc>
          <w:tcPr>
            <w:tcW w:type="dxa" w:w="31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2E7D32"/>
                <w:sz w:val="18"/>
                <w:szCs w:val="18"/>
              </w:rPr>
              <w:t xml:space="preserve">BRL 390K / USD 78K</w:t>
            </w:r>
          </w:p>
        </w:tc>
        <w:tc>
          <w:tcPr>
            <w:tcW w:type="dxa" w:w="31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2E7D32"/>
                <w:sz w:val="18"/>
                <w:szCs w:val="18"/>
              </w:rPr>
              <w:t xml:space="preserve">~16%</w:t>
            </w:r>
          </w:p>
        </w:tc>
      </w:tr>
      <w:tr>
        <w:tc>
          <w:tcPr>
            <w:tcW w:type="dxa" w:w="3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7F7F7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ROAS degrades 50% (≈10×)</w:t>
            </w:r>
          </w:p>
        </w:tc>
        <w:tc>
          <w:tcPr>
            <w:tcW w:type="dxa" w:w="31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7F7F7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BRL 780K / USD 156K</w:t>
            </w:r>
          </w:p>
        </w:tc>
        <w:tc>
          <w:tcPr>
            <w:tcW w:type="dxa" w:w="31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7F7F7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~31%</w:t>
            </w:r>
          </w:p>
        </w:tc>
      </w:tr>
      <w:tr>
        <w:tc>
          <w:tcPr>
            <w:tcW w:type="dxa" w:w="3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ROAS degrades to 5×</w:t>
            </w:r>
          </w:p>
        </w:tc>
        <w:tc>
          <w:tcPr>
            <w:tcW w:type="dxa" w:w="31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BRL 1.56M / USD 312K</w:t>
            </w:r>
          </w:p>
        </w:tc>
        <w:tc>
          <w:tcPr>
            <w:tcW w:type="dxa" w:w="31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sz w:val="18"/>
                <w:szCs w:val="18"/>
              </w:rPr>
              <w:t xml:space="preserve">~62%</w:t>
            </w:r>
          </w:p>
        </w:tc>
      </w:tr>
      <w:tr>
        <w:tc>
          <w:tcPr>
            <w:tcW w:type="dxa" w:w="37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BF3DD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Break-even (ROAS ≈3×)</w:t>
            </w:r>
          </w:p>
        </w:tc>
        <w:tc>
          <w:tcPr>
            <w:tcW w:type="dxa" w:w="31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BF3DD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BRL 2.6M / USD 520K</w:t>
            </w:r>
          </w:p>
        </w:tc>
        <w:tc>
          <w:tcPr>
            <w:tcW w:type="dxa" w:w="319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BF3DD" w:val="clear"/>
            <w:tcMar>
              <w:top w:type="dxa" w:w="70"/>
              <w:left w:type="dxa" w:w="110"/>
              <w:bottom w:type="dxa" w:w="7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A23B3B"/>
                <w:sz w:val="18"/>
                <w:szCs w:val="18"/>
              </w:rPr>
              <w:t xml:space="preserve">~104%</w:t>
            </w:r>
          </w:p>
        </w:tc>
      </w:tr>
    </w:tbl>
    <w:p>
      <w:pPr>
        <w:spacing w:after="220"/>
      </w:pPr>
      <w:r>
        <w:rPr>
          <w:rFonts w:ascii="Arial" w:cs="Arial" w:eastAsia="Arial" w:hAnsi="Arial"/>
          <w:b/>
          <w:bCs/>
          <w:sz w:val="18"/>
          <w:szCs w:val="18"/>
        </w:rPr>
        <w:t xml:space="preserve">Reading: </w:t>
      </w:r>
      <w:r>
        <w:rPr>
          <w:rFonts w:ascii="Arial" w:cs="Arial" w:eastAsia="Arial" w:hAnsi="Arial"/>
          <w:sz w:val="18"/>
          <w:szCs w:val="18"/>
        </w:rPr>
        <w:t xml:space="preserve">Vivaz/Cyrela target is mathematically reachable within the round's Property budget across a wide degradation envelope. Even at 5× ROAS (a 74% degradation from pilot performance), the target consumes only ~62% of the Property allocation, leaving headroom for MRV and Canopus operations in parallel.</w:t>
      </w:r>
    </w:p>
    <w:p>
      <w:pPr>
        <w:pStyle w:val="Heading1"/>
      </w:pPr>
      <w:r>
        <w:rPr>
          <w:rFonts w:ascii="Arial" w:cs="Arial" w:eastAsia="Arial" w:hAnsi="Arial"/>
          <w:color w:val="08122A"/>
          <w:sz w:val="20"/>
          <w:szCs w:val="20"/>
        </w:rPr>
        <w:t xml:space="preserve">What this document deliberately does not claim</w:t>
      </w:r>
    </w:p>
    <w:p>
      <w:pPr>
        <w:pStyle w:val="ListParagraph"/>
        <w:numPr>
          <w:ilvl w:val="0"/>
          <w:numId w:val="2"/>
        </w:numPr>
        <w:spacing w:after="90"/>
      </w:pPr>
      <w:r>
        <w:rPr>
          <w:rFonts w:ascii="Arial" w:cs="Arial" w:eastAsia="Arial" w:hAnsi="Arial"/>
          <w:b/>
          <w:bCs/>
          <w:i/>
          <w:iCs/>
          <w:sz w:val="20"/>
          <w:szCs w:val="20"/>
        </w:rPr>
        <w:t xml:space="preserve">Not</w:t>
      </w:r>
      <w:r>
        <w:rPr>
          <w:rFonts w:ascii="Arial" w:cs="Arial" w:eastAsia="Arial" w:hAnsi="Arial"/>
          <w:sz w:val="20"/>
          <w:szCs w:val="20"/>
        </w:rPr>
        <w:t xml:space="preserve"> a projection that pilot ROAS persists at scale. ROAS is expected to degrade as lead volume increases; sensitivity table above tests that assumption.</w:t>
      </w:r>
    </w:p>
    <w:p>
      <w:pPr>
        <w:pStyle w:val="ListParagraph"/>
        <w:numPr>
          <w:ilvl w:val="0"/>
          <w:numId w:val="2"/>
        </w:numPr>
        <w:spacing w:after="90"/>
      </w:pPr>
      <w:r>
        <w:rPr>
          <w:rFonts w:ascii="Arial" w:cs="Arial" w:eastAsia="Arial" w:hAnsi="Arial"/>
          <w:b/>
          <w:bCs/>
          <w:i/>
          <w:iCs/>
          <w:sz w:val="20"/>
          <w:szCs w:val="20"/>
        </w:rPr>
        <w:t xml:space="preserve">Not</w:t>
      </w:r>
      <w:r>
        <w:rPr>
          <w:rFonts w:ascii="Arial" w:cs="Arial" w:eastAsia="Arial" w:hAnsi="Arial"/>
          <w:sz w:val="20"/>
          <w:szCs w:val="20"/>
        </w:rPr>
        <w:t xml:space="preserve"> a forecast that all closed sales' commissions are already in cash. Brazilian MCMV cycle is 4–6 months; partial realized, remainder in normal recovery.</w:t>
      </w:r>
    </w:p>
    <w:p>
      <w:pPr>
        <w:pStyle w:val="ListParagraph"/>
        <w:numPr>
          <w:ilvl w:val="0"/>
          <w:numId w:val="2"/>
        </w:numPr>
        <w:spacing w:after="90"/>
      </w:pPr>
      <w:r>
        <w:rPr>
          <w:rFonts w:ascii="Arial" w:cs="Arial" w:eastAsia="Arial" w:hAnsi="Arial"/>
          <w:b/>
          <w:bCs/>
          <w:i/>
          <w:iCs/>
          <w:sz w:val="20"/>
          <w:szCs w:val="20"/>
        </w:rPr>
        <w:t xml:space="preserve">Not</w:t>
      </w:r>
      <w:r>
        <w:rPr>
          <w:rFonts w:ascii="Arial" w:cs="Arial" w:eastAsia="Arial" w:hAnsi="Arial"/>
          <w:sz w:val="20"/>
          <w:szCs w:val="20"/>
        </w:rPr>
        <w:t xml:space="preserve"> a claim that Vivaz/Cyrela, Canopus, MRV, Dubai, or Florida operations have produced sales yet. They are capital-deployed and in ramp-up.</w:t>
      </w:r>
    </w:p>
    <w:p>
      <w:pPr>
        <w:pStyle w:val="ListParagraph"/>
        <w:numPr>
          <w:ilvl w:val="0"/>
          <w:numId w:val="2"/>
        </w:numPr>
        <w:spacing w:after="90"/>
      </w:pPr>
      <w:r>
        <w:rPr>
          <w:rFonts w:ascii="Arial" w:cs="Arial" w:eastAsia="Arial" w:hAnsi="Arial"/>
          <w:b/>
          <w:bCs/>
          <w:i/>
          <w:iCs/>
          <w:sz w:val="20"/>
          <w:szCs w:val="20"/>
        </w:rPr>
        <w:t xml:space="preserve">Not</w:t>
      </w:r>
      <w:r>
        <w:rPr>
          <w:rFonts w:ascii="Arial" w:cs="Arial" w:eastAsia="Arial" w:hAnsi="Arial"/>
          <w:sz w:val="20"/>
          <w:szCs w:val="20"/>
        </w:rPr>
        <w:t xml:space="preserve"> a claim that international markets behave identically to Brazil. The same operating model is being deployed; jurisdiction-specific data will be collected and reported.</w:t>
      </w:r>
    </w:p>
    <w:p>
      <w:pPr>
        <w:spacing w:after="200"/>
      </w:pPr>
      <w:r>
        <w:rPr>
          <w:rFonts w:ascii="Arial" w:cs="Arial" w:eastAsia="Arial" w:hAnsi="Arial"/>
          <w:i/>
          <w:iCs/>
          <w:color w:val="595959"/>
          <w:sz w:val="18"/>
          <w:szCs w:val="18"/>
        </w:rPr>
        <w:t xml:space="preserve">This restraint is intentional. The pre-seed round is precisely about validating the next stage — not claiming it already happened.</w:t>
      </w:r>
    </w:p>
    <w:p>
      <w:pPr>
        <w:pBdr>
          <w:top w:val="single" w:color="CCCCCC" w:sz="4" w:space="6"/>
        </w:pBdr>
        <w:spacing w:before="100"/>
      </w:pPr>
      <w:r>
        <w:rPr>
          <w:rFonts w:ascii="Arial" w:cs="Arial" w:eastAsia="Arial" w:hAnsi="Arial"/>
          <w:i/>
          <w:iCs/>
          <w:color w:val="595959"/>
          <w:sz w:val="16"/>
          <w:szCs w:val="16"/>
        </w:rPr>
        <w:t xml:space="preserve">Reference data set available upon request: pilot-level consolidation spreadsheet, partnership contracts (under NDA), and capital deployment ledger.</w:t>
      </w:r>
    </w:p>
    <w:sectPr>
      <w:footerReference w:type="default" r:id="rId7"/>
      <w:pgSz w:w="12240" w:h="15840" w:orient="portrait"/>
      <w:pgMar w:top="108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color w:val="595959"/>
        <w:sz w:val="15"/>
        <w:szCs w:val="15"/>
      </w:rPr>
      <w:t xml:space="preserve">Glemo — Operational Traction Briefing  |  Confidential  |  Page </w:t>
    </w:r>
    <w:r>
      <w:rPr>
        <w:rFonts w:ascii="Arial" w:cs="Arial" w:eastAsia="Arial" w:hAnsi="Arial"/>
        <w:color w:val="595959"/>
        <w:sz w:val="15"/>
        <w:szCs w:val="15"/>
      </w:rPr>
      <w:fldChar w:fldCharType="begin"/>
      <w:instrText xml:space="preserve">PAGE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8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60" w:before="320"/>
      <w:outlineLvl w:val="0"/>
    </w:pPr>
    <w:rPr>
      <w:rFonts w:ascii="Arial" w:cs="Arial" w:eastAsia="Arial" w:hAnsi="Arial"/>
      <w:b/>
      <w:bCs/>
      <w:color w:val="08122A"/>
      <w:sz w:val="28"/>
      <w:szCs w:val="28"/>
    </w:rPr>
  </w:style>
  <w:style w:type="paragraph" w:styleId="Heading2">
    <w:name w:val="Heading 2"/>
    <w:basedOn w:val="Normal"/>
    <w:next w:val="Normal"/>
    <w:qFormat/>
    <w:pPr>
      <w:spacing w:after="110" w:before="220"/>
      <w:outlineLvl w:val="1"/>
    </w:pPr>
    <w:rPr>
      <w:rFonts w:ascii="Arial" w:cs="Arial" w:eastAsia="Arial" w:hAnsi="Arial"/>
      <w:b/>
      <w:bCs/>
      <w:color w:val="B8902A"/>
      <w:sz w:val="22"/>
      <w:szCs w:val="22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2026-06-03T00:12:14.220Z</dcterms:created>
  <dcterms:modified xsi:type="dcterms:W3CDTF">2026-06-03T00:12:14.239Z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